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2020年政协绩效报告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预决算编制情况。资阳区政协及时组织财务人员进行预决算的编制，对本年度相应用款进行及时清理和处理，做到账账相符、账实相符、账证相符,按先预算再支出的原则，及时处理相关事务；对年度绩效目标进行季度梳理和年度分析，及时上报相关报表；对专项预算提前细化，分科目上报，做到收支平衡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（二）执行管理情况。资阳区政协按照区财政的要求，及时分月、分季度上报相应计划，待区财政审核通过后，严格按计划执行，各季度执行情况良好。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基本支出2019年按月或季度进行申报，其中人员工资按月申报并直接支付，日常公用经费按季度进行申报并支付。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（三）支出绩效情况。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1、部门支出绩效。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（1）行政运转保障。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政协财政拨款支出主要用于保障部门机构正常运转、完成日常工作任务以及承担政协全会开展相关工作。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基本支出，是用于保障政府机关、事业单位等机构正常运转的日常支出，包括基本工资、津贴补贴等人员经费以及办公费、印刷费、水电费、办公设备购置等日常公用经费。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项目支出，是用于保障政府机关、事业单位等机构为完成特定的行政工作任务或事业发展目标，用于专项业务等基础设施建设与维护等工作经费支出。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（2）机关厉行节约。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区政协认真执行中央八项规定，秉承开源节流的宗旨，严格管控三公经费支出。我单位部门严遵守八项规定，严格公务接待标准。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2、专项预算项目支出绩效。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（1）项目申报情况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年初预算部分专项按月进行申报，其他项目待资金下达后一次性申报。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（2）项目资金管理情况。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项目资金管理严格按照用款计划，分月、季度执行，按照项目资金管理办法实行专款专用。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（3）绩效目标完成情况。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按照年初预算项目，达到预期经济、社会目标。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（四）财务管理情况。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政协按照岗位职责，严格执行机关财务管理制度，及时进行会计核算，对项目资金、政府采购进行公开公示，接受群众监督。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（五）绩效管理工作开展情况。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政协绩效管理严格按照上级部门要求，开展自评工作，对评价结果及时总结上报。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000000"/>
    <w:rsid w:val="7D7F157B"/>
    <w:rsid w:val="7E4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808</Characters>
  <Lines>0</Lines>
  <Paragraphs>0</Paragraphs>
  <TotalTime>2</TotalTime>
  <ScaleCrop>false</ScaleCrop>
  <LinksUpToDate>false</LinksUpToDate>
  <CharactersWithSpaces>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2022-07-01T03:42:00Z</dcterms:created>
  <dc:creator>Administrator</dc:creator>
  <cp:lastModifiedBy>浪浪剑心</cp:lastModifiedBy>
  <dcterms:modified xsi:type="dcterms:W3CDTF">2023-08-28T08:55:18Z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FFB3A4673345447FB004C8C0ED606B78</vt:lpwstr>
  </property>
</Properties>
</file>