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方正小标宋_GBK"/>
          <w:szCs w:val="32"/>
        </w:rPr>
      </w:pPr>
    </w:p>
    <w:p>
      <w:pPr>
        <w:spacing w:line="590" w:lineRule="exact"/>
        <w:jc w:val="center"/>
        <w:rPr>
          <w:rFonts w:eastAsia="黑体"/>
          <w:szCs w:val="32"/>
        </w:rPr>
      </w:pPr>
    </w:p>
    <w:p>
      <w:pPr>
        <w:spacing w:line="590" w:lineRule="exact"/>
        <w:jc w:val="center"/>
        <w:rPr>
          <w:rFonts w:eastAsia="黑体"/>
          <w:sz w:val="52"/>
          <w:szCs w:val="52"/>
        </w:rPr>
      </w:pPr>
    </w:p>
    <w:p>
      <w:pPr>
        <w:spacing w:line="720" w:lineRule="auto"/>
        <w:ind w:left="-160" w:leftChars="-50" w:right="-160" w:rightChars="-50"/>
        <w:jc w:val="center"/>
        <w:rPr>
          <w:rFonts w:eastAsia="黑体"/>
          <w:sz w:val="48"/>
          <w:szCs w:val="48"/>
        </w:rPr>
      </w:pPr>
      <w:r>
        <w:rPr>
          <w:rFonts w:eastAsia="黑体"/>
          <w:sz w:val="48"/>
          <w:szCs w:val="48"/>
        </w:rPr>
        <w:t>益阳市资阳区“十四五”生态环境保护规划</w:t>
      </w: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szCs w:val="32"/>
        </w:rPr>
      </w:pPr>
    </w:p>
    <w:p>
      <w:pPr>
        <w:spacing w:line="590" w:lineRule="exact"/>
        <w:jc w:val="center"/>
        <w:rPr>
          <w:rFonts w:eastAsia="黑体"/>
          <w:b/>
          <w:szCs w:val="32"/>
        </w:rPr>
      </w:pPr>
      <w:r>
        <w:rPr>
          <w:rFonts w:eastAsia="黑体"/>
          <w:b/>
          <w:szCs w:val="32"/>
        </w:rPr>
        <w:t>益阳市生态环境局资阳分局</w:t>
      </w:r>
    </w:p>
    <w:p>
      <w:pPr>
        <w:pStyle w:val="27"/>
        <w:jc w:val="center"/>
        <w:rPr>
          <w:rFonts w:ascii="Times New Roman" w:hAnsi="Times New Roman" w:eastAsia="黑体"/>
          <w:sz w:val="32"/>
          <w:szCs w:val="32"/>
        </w:rPr>
      </w:pPr>
      <w:r>
        <w:rPr>
          <w:rFonts w:ascii="Times New Roman" w:hAnsi="Times New Roman" w:eastAsia="黑体"/>
          <w:b/>
          <w:sz w:val="32"/>
          <w:szCs w:val="32"/>
        </w:rPr>
        <w:t>二O二</w:t>
      </w:r>
      <w:r>
        <w:rPr>
          <w:rFonts w:hint="eastAsia" w:ascii="Times New Roman" w:hAnsi="Times New Roman" w:eastAsia="黑体"/>
          <w:b/>
          <w:sz w:val="32"/>
          <w:szCs w:val="32"/>
        </w:rPr>
        <w:t>二</w:t>
      </w:r>
      <w:r>
        <w:rPr>
          <w:rFonts w:ascii="Times New Roman" w:hAnsi="Times New Roman" w:eastAsia="黑体"/>
          <w:b/>
          <w:sz w:val="32"/>
          <w:szCs w:val="32"/>
        </w:rPr>
        <w:t>年</w:t>
      </w:r>
      <w:r>
        <w:rPr>
          <w:rFonts w:hint="eastAsia" w:ascii="Times New Roman" w:hAnsi="Times New Roman" w:eastAsia="黑体"/>
          <w:b/>
          <w:sz w:val="32"/>
          <w:szCs w:val="32"/>
        </w:rPr>
        <w:t>五</w:t>
      </w:r>
      <w:r>
        <w:rPr>
          <w:rFonts w:ascii="Times New Roman" w:hAnsi="Times New Roman" w:eastAsia="黑体"/>
          <w:b/>
          <w:sz w:val="32"/>
          <w:szCs w:val="32"/>
        </w:rPr>
        <w:t>月</w:t>
      </w:r>
    </w:p>
    <w:p>
      <w:pPr>
        <w:pStyle w:val="27"/>
        <w:rPr>
          <w:rFonts w:ascii="Times New Roman" w:hAnsi="Times New Roman" w:eastAsia="黑体"/>
          <w:sz w:val="32"/>
          <w:szCs w:val="32"/>
        </w:rPr>
      </w:pPr>
    </w:p>
    <w:p>
      <w:pPr>
        <w:spacing w:line="590" w:lineRule="exact"/>
        <w:jc w:val="center"/>
        <w:rPr>
          <w:rFonts w:eastAsia="黑体"/>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18" w:left="1588" w:header="851" w:footer="992" w:gutter="0"/>
          <w:pgNumType w:start="1"/>
          <w:cols w:space="720" w:num="1"/>
          <w:titlePg/>
          <w:docGrid w:type="lines" w:linePitch="312" w:charSpace="0"/>
        </w:sectPr>
      </w:pPr>
    </w:p>
    <w:p>
      <w:pPr>
        <w:spacing w:line="660" w:lineRule="exact"/>
        <w:jc w:val="center"/>
        <w:rPr>
          <w:rFonts w:eastAsia="黑体"/>
          <w:color w:val="000000"/>
          <w:sz w:val="44"/>
          <w:szCs w:val="44"/>
        </w:rPr>
      </w:pPr>
      <w:r>
        <w:rPr>
          <w:rFonts w:eastAsia="黑体"/>
          <w:color w:val="000000"/>
          <w:sz w:val="44"/>
          <w:szCs w:val="44"/>
        </w:rPr>
        <w:t>前言</w:t>
      </w:r>
    </w:p>
    <w:p>
      <w:pPr>
        <w:spacing w:line="590" w:lineRule="exact"/>
        <w:ind w:firstLine="640" w:firstLineChars="200"/>
        <w:rPr>
          <w:rFonts w:eastAsia="仿宋"/>
          <w:szCs w:val="32"/>
        </w:rPr>
      </w:pPr>
    </w:p>
    <w:p>
      <w:pPr>
        <w:spacing w:line="590" w:lineRule="exact"/>
        <w:ind w:firstLine="640" w:firstLineChars="200"/>
        <w:rPr>
          <w:rFonts w:eastAsia="仿宋"/>
          <w:szCs w:val="32"/>
        </w:rPr>
      </w:pPr>
    </w:p>
    <w:p>
      <w:pPr>
        <w:spacing w:line="590" w:lineRule="exact"/>
        <w:ind w:firstLine="640" w:firstLineChars="200"/>
        <w:rPr>
          <w:rFonts w:eastAsia="仿宋"/>
          <w:szCs w:val="32"/>
        </w:rPr>
      </w:pPr>
      <w:r>
        <w:rPr>
          <w:rFonts w:eastAsia="仿宋"/>
          <w:szCs w:val="32"/>
        </w:rPr>
        <w:t>“十四五”时期是开启全面建设社会主义现代化国家新征程、向第二个一百年奋斗目标进军的第一个五年，是大力实施“三高四新”战略、奋力建设现代化新湖南的关键五年。生态环境保护是统筹推进“五位一体”总体布局的重要内容，是推动高质量发展的重要手段，是满足人民日益增长的美好生活需要的重要因素。为深入贯彻习近平总书记考察湖南重要讲话精神，持续改善资阳区生态环境质量，深入推进生态文明建设，为建设“益山益水·益美益阳”助力，根据《湖南省“十四五”生态环境保护规划》《益阳市“十四五”生态环境保护规划》的总体部署，制定本规划。主要阐明“十四五”时期资阳区生态环境保护工作的指导思想、目标指标和重大工程，是今后五年统筹推进资阳区生态环境保护工作的行动纲领。</w:t>
      </w:r>
    </w:p>
    <w:p>
      <w:pPr>
        <w:pStyle w:val="17"/>
        <w:ind w:firstLine="320"/>
      </w:pPr>
    </w:p>
    <w:p>
      <w:pPr>
        <w:pStyle w:val="17"/>
        <w:ind w:firstLine="320"/>
        <w:sectPr>
          <w:pgSz w:w="11906" w:h="16838"/>
          <w:pgMar w:top="1701" w:right="1474" w:bottom="1418" w:left="1588" w:header="851" w:footer="992" w:gutter="0"/>
          <w:pgNumType w:start="1"/>
          <w:cols w:space="720" w:num="1"/>
          <w:titlePg/>
          <w:docGrid w:type="lines" w:linePitch="312" w:charSpace="0"/>
        </w:sectPr>
      </w:pPr>
    </w:p>
    <w:sdt>
      <w:sdtPr>
        <w:rPr>
          <w:rFonts w:ascii="Calibri" w:hAnsi="Calibri" w:eastAsia="宋体"/>
          <w:b/>
          <w:bCs/>
          <w:sz w:val="28"/>
          <w:szCs w:val="28"/>
        </w:rPr>
        <w:id w:val="147472651"/>
        <w:docPartObj>
          <w:docPartGallery w:val="Table of Contents"/>
          <w:docPartUnique/>
        </w:docPartObj>
      </w:sdtPr>
      <w:sdtEndPr>
        <w:rPr>
          <w:rFonts w:ascii="Calibri" w:hAnsi="Calibri" w:eastAsia="仿宋_GB2312"/>
          <w:b/>
          <w:bCs/>
          <w:sz w:val="24"/>
          <w:szCs w:val="24"/>
        </w:rPr>
      </w:sdtEndPr>
      <w:sdtContent>
        <w:p>
          <w:pPr>
            <w:spacing w:afterLines="50" w:line="360" w:lineRule="exact"/>
            <w:jc w:val="center"/>
            <w:rPr>
              <w:rFonts w:eastAsia="黑体"/>
              <w:sz w:val="28"/>
              <w:szCs w:val="28"/>
            </w:rPr>
          </w:pPr>
          <w:r>
            <w:rPr>
              <w:rFonts w:eastAsia="黑体"/>
              <w:sz w:val="28"/>
              <w:szCs w:val="28"/>
            </w:rPr>
            <w:t>目  录</w:t>
          </w:r>
        </w:p>
        <w:p>
          <w:pPr>
            <w:pStyle w:val="15"/>
            <w:tabs>
              <w:tab w:val="right" w:leader="dot" w:pos="8296"/>
            </w:tabs>
            <w:ind w:left="640"/>
            <w:rPr>
              <w:rFonts w:asciiTheme="minorHAnsi" w:hAnsiTheme="minorHAnsi" w:eastAsiaTheme="minorEastAsia" w:cstheme="minorBidi"/>
            </w:rPr>
          </w:pPr>
          <w:r>
            <w:rPr>
              <w:rFonts w:ascii="Times New Roman" w:hAnsi="Times New Roman"/>
              <w:sz w:val="24"/>
              <w:szCs w:val="24"/>
            </w:rPr>
            <w:fldChar w:fldCharType="begin"/>
          </w:r>
          <w:r>
            <w:rPr>
              <w:rFonts w:ascii="Times New Roman" w:hAnsi="Times New Roman"/>
              <w:sz w:val="24"/>
              <w:szCs w:val="24"/>
            </w:rPr>
            <w:instrText xml:space="preserve">TOC \o "1-2" \h \u </w:instrText>
          </w:r>
          <w:r>
            <w:rPr>
              <w:rFonts w:ascii="Times New Roman" w:hAnsi="Times New Roman"/>
              <w:sz w:val="24"/>
              <w:szCs w:val="24"/>
            </w:rPr>
            <w:fldChar w:fldCharType="separate"/>
          </w:r>
          <w:r>
            <w:fldChar w:fldCharType="begin"/>
          </w:r>
          <w:r>
            <w:instrText xml:space="preserve"> HYPERLINK \l "_Toc98755243" </w:instrText>
          </w:r>
          <w:r>
            <w:fldChar w:fldCharType="separate"/>
          </w:r>
          <w:r>
            <w:rPr>
              <w:rStyle w:val="25"/>
              <w:rFonts w:hint="eastAsia" w:ascii="Times New Roman" w:hAnsi="Times New Roman" w:eastAsia="黑体"/>
            </w:rPr>
            <w:t>一、发展基础和面临形势</w:t>
          </w:r>
          <w:r>
            <w:tab/>
          </w:r>
          <w:r>
            <w:fldChar w:fldCharType="begin"/>
          </w:r>
          <w:r>
            <w:instrText xml:space="preserve"> PAGEREF _Toc98755243 \h </w:instrText>
          </w:r>
          <w:r>
            <w:fldChar w:fldCharType="separate"/>
          </w:r>
          <w:r>
            <w:t>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"_Toc98755244" </w:instrText>
          </w:r>
          <w:r>
            <w:fldChar w:fldCharType="separate"/>
          </w:r>
          <w:r>
            <w:rPr>
              <w:rStyle w:val="25"/>
              <w:rFonts w:hint="eastAsia" w:eastAsia="楷体"/>
              <w:b/>
              <w:bCs/>
            </w:rPr>
            <w:t>（一）</w:t>
          </w:r>
          <w:r>
            <w:rPr>
              <w:rStyle w:val="25"/>
              <w:rFonts w:eastAsia="楷体"/>
              <w:b/>
              <w:bCs/>
            </w:rPr>
            <w:t>“</w:t>
          </w:r>
          <w:r>
            <w:rPr>
              <w:rStyle w:val="25"/>
              <w:rFonts w:hint="eastAsia" w:eastAsia="楷体"/>
              <w:b/>
              <w:bCs/>
            </w:rPr>
            <w:t>十三五</w:t>
          </w:r>
          <w:r>
            <w:rPr>
              <w:rStyle w:val="25"/>
              <w:rFonts w:eastAsia="楷体"/>
              <w:b/>
              <w:bCs/>
            </w:rPr>
            <w:t>”</w:t>
          </w:r>
          <w:r>
            <w:rPr>
              <w:rStyle w:val="25"/>
              <w:rFonts w:hint="eastAsia" w:eastAsia="楷体"/>
              <w:b/>
              <w:bCs/>
            </w:rPr>
            <w:t>生态环境保护成绩显著</w:t>
          </w:r>
          <w:r>
            <w:tab/>
          </w:r>
          <w:r>
            <w:fldChar w:fldCharType="begin"/>
          </w:r>
          <w:r>
            <w:instrText xml:space="preserve"> PAGEREF _Toc98755244 \h </w:instrText>
          </w:r>
          <w:r>
            <w:fldChar w:fldCharType="separate"/>
          </w:r>
          <w:r>
            <w:t>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"_Toc98755245" </w:instrText>
          </w:r>
          <w:r>
            <w:fldChar w:fldCharType="separate"/>
          </w:r>
          <w:r>
            <w:rPr>
              <w:rStyle w:val="25"/>
              <w:rFonts w:hint="eastAsia" w:eastAsia="楷体"/>
              <w:b/>
              <w:bCs/>
            </w:rPr>
            <w:t>（二）存在的主要问题</w:t>
          </w:r>
          <w:r>
            <w:tab/>
          </w:r>
          <w:r>
            <w:fldChar w:fldCharType="begin"/>
          </w:r>
          <w:r>
            <w:instrText xml:space="preserve"> PAGEREF _Toc98755245 \h </w:instrText>
          </w:r>
          <w:r>
            <w:fldChar w:fldCharType="separate"/>
          </w:r>
          <w:r>
            <w:t>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"_Toc98755246" </w:instrText>
          </w:r>
          <w:r>
            <w:fldChar w:fldCharType="separate"/>
          </w:r>
          <w:r>
            <w:rPr>
              <w:rStyle w:val="25"/>
              <w:rFonts w:hint="eastAsia" w:eastAsia="楷体"/>
              <w:b/>
              <w:bCs/>
            </w:rPr>
            <w:t>（三）生态环境保护面临机遇与挑战</w:t>
          </w:r>
          <w:r>
            <w:tab/>
          </w:r>
          <w:r>
            <w:fldChar w:fldCharType="begin"/>
          </w:r>
          <w:r>
            <w:instrText xml:space="preserve"> PAGEREF _Toc98755246 \h </w:instrText>
          </w:r>
          <w:r>
            <w:fldChar w:fldCharType="separate"/>
          </w:r>
          <w:r>
            <w:t>6</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"_Toc98755247" </w:instrText>
          </w:r>
          <w:r>
            <w:fldChar w:fldCharType="separate"/>
          </w:r>
          <w:r>
            <w:rPr>
              <w:rStyle w:val="25"/>
              <w:rFonts w:hint="eastAsia" w:ascii="Times New Roman" w:hAnsi="Times New Roman" w:eastAsia="黑体"/>
            </w:rPr>
            <w:t>二、总体要求</w:t>
          </w:r>
          <w:r>
            <w:tab/>
          </w:r>
          <w:r>
            <w:fldChar w:fldCharType="begin"/>
          </w:r>
          <w:r>
            <w:instrText xml:space="preserve"> PAGEREF _Toc98755247 \h </w:instrText>
          </w:r>
          <w:r>
            <w:fldChar w:fldCharType="separate"/>
          </w:r>
          <w:r>
            <w:t>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"_Toc98755248" </w:instrText>
          </w:r>
          <w:r>
            <w:fldChar w:fldCharType="separate"/>
          </w:r>
          <w:r>
            <w:rPr>
              <w:rStyle w:val="25"/>
              <w:rFonts w:hint="eastAsia" w:eastAsia="楷体"/>
              <w:b/>
              <w:bCs/>
            </w:rPr>
            <w:t>（一）指导思想</w:t>
          </w:r>
          <w:r>
            <w:tab/>
          </w:r>
          <w:r>
            <w:fldChar w:fldCharType="begin"/>
          </w:r>
          <w:r>
            <w:instrText xml:space="preserve"> PAGEREF _Toc98755248 \h </w:instrText>
          </w:r>
          <w:r>
            <w:fldChar w:fldCharType="separate"/>
          </w:r>
          <w:r>
            <w:t>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"_Toc98755249" </w:instrText>
          </w:r>
          <w:r>
            <w:fldChar w:fldCharType="separate"/>
          </w:r>
          <w:r>
            <w:rPr>
              <w:rStyle w:val="25"/>
              <w:rFonts w:hint="eastAsia" w:eastAsia="楷体"/>
              <w:b/>
              <w:bCs/>
            </w:rPr>
            <w:t>（二）基本原则</w:t>
          </w:r>
          <w:r>
            <w:tab/>
          </w:r>
          <w:r>
            <w:fldChar w:fldCharType="begin"/>
          </w:r>
          <w:r>
            <w:instrText xml:space="preserve"> PAGEREF _Toc98755249 \h </w:instrText>
          </w:r>
          <w:r>
            <w:fldChar w:fldCharType="separate"/>
          </w:r>
          <w:r>
            <w:t>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"_Toc98755250" </w:instrText>
          </w:r>
          <w:r>
            <w:fldChar w:fldCharType="separate"/>
          </w:r>
          <w:r>
            <w:rPr>
              <w:rStyle w:val="25"/>
              <w:rFonts w:hint="eastAsia" w:eastAsia="楷体"/>
              <w:b/>
              <w:bCs/>
            </w:rPr>
            <w:t>（三）规划范围与期限</w:t>
          </w:r>
          <w:r>
            <w:tab/>
          </w:r>
          <w:r>
            <w:fldChar w:fldCharType="begin"/>
          </w:r>
          <w:r>
            <w:instrText xml:space="preserve"> PAGEREF _Toc98755250 \h </w:instrText>
          </w:r>
          <w:r>
            <w:fldChar w:fldCharType="separate"/>
          </w:r>
          <w:r>
            <w:t>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"_Toc98755251" </w:instrText>
          </w:r>
          <w:r>
            <w:fldChar w:fldCharType="separate"/>
          </w:r>
          <w:r>
            <w:rPr>
              <w:rStyle w:val="25"/>
              <w:rFonts w:hint="eastAsia" w:eastAsia="楷体"/>
              <w:b/>
              <w:bCs/>
            </w:rPr>
            <w:t>（四）规划总体目标</w:t>
          </w:r>
          <w:r>
            <w:tab/>
          </w:r>
          <w:r>
            <w:fldChar w:fldCharType="begin"/>
          </w:r>
          <w:r>
            <w:instrText xml:space="preserve"> PAGEREF _Toc98755251 \h </w:instrText>
          </w:r>
          <w:r>
            <w:fldChar w:fldCharType="separate"/>
          </w:r>
          <w:r>
            <w:t>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"_Toc98755252" </w:instrText>
          </w:r>
          <w:r>
            <w:fldChar w:fldCharType="separate"/>
          </w:r>
          <w:r>
            <w:rPr>
              <w:rStyle w:val="25"/>
              <w:rFonts w:hint="eastAsia" w:eastAsia="楷体"/>
              <w:b/>
              <w:bCs/>
            </w:rPr>
            <w:t>（五）规划目标指标体系</w:t>
          </w:r>
          <w:r>
            <w:tab/>
          </w:r>
          <w:r>
            <w:fldChar w:fldCharType="begin"/>
          </w:r>
          <w:r>
            <w:instrText xml:space="preserve"> PAGEREF _Toc98755252 \h </w:instrText>
          </w:r>
          <w:r>
            <w:fldChar w:fldCharType="separate"/>
          </w:r>
          <w:r>
            <w:t>10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"_Toc98755253" </w:instrText>
          </w:r>
          <w:r>
            <w:fldChar w:fldCharType="separate"/>
          </w:r>
          <w:r>
            <w:rPr>
              <w:rStyle w:val="25"/>
              <w:rFonts w:hint="eastAsia" w:ascii="Times New Roman" w:hAnsi="Times New Roman" w:eastAsia="黑体"/>
            </w:rPr>
            <w:t>三、加强源头治理，助推绿色发展</w:t>
          </w:r>
          <w:r>
            <w:tab/>
          </w:r>
          <w:r>
            <w:fldChar w:fldCharType="begin"/>
          </w:r>
          <w:r>
            <w:instrText xml:space="preserve"> PAGEREF _Toc98755253 \h </w:instrText>
          </w:r>
          <w:r>
            <w:fldChar w:fldCharType="separate"/>
          </w:r>
          <w:r>
            <w:t>12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"_Toc98755254" </w:instrText>
          </w:r>
          <w:r>
            <w:fldChar w:fldCharType="separate"/>
          </w:r>
          <w:r>
            <w:rPr>
              <w:rStyle w:val="25"/>
              <w:rFonts w:hint="eastAsia" w:eastAsia="楷体"/>
              <w:b/>
              <w:bCs/>
            </w:rPr>
            <w:t>（一）推进产业结构调整</w:t>
          </w:r>
          <w:r>
            <w:tab/>
          </w:r>
          <w:r>
            <w:fldChar w:fldCharType="begin"/>
          </w:r>
          <w:r>
            <w:instrText xml:space="preserve"> PAGEREF _Toc98755254 \h </w:instrText>
          </w:r>
          <w:r>
            <w:fldChar w:fldCharType="separate"/>
          </w:r>
          <w:r>
            <w:t>12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"_Toc98755255" </w:instrText>
          </w:r>
          <w:r>
            <w:fldChar w:fldCharType="separate"/>
          </w:r>
          <w:r>
            <w:rPr>
              <w:rStyle w:val="25"/>
              <w:rFonts w:hint="eastAsia" w:eastAsia="楷体"/>
              <w:b/>
              <w:bCs/>
            </w:rPr>
            <w:t>（二）推进能源结构调整</w:t>
          </w:r>
          <w:r>
            <w:tab/>
          </w:r>
          <w:r>
            <w:fldChar w:fldCharType="begin"/>
          </w:r>
          <w:r>
            <w:instrText xml:space="preserve"> PAGEREF _Toc98755255 \h </w:instrText>
          </w:r>
          <w:r>
            <w:fldChar w:fldCharType="separate"/>
          </w:r>
          <w:r>
            <w:t>12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"_Toc98755256" </w:instrText>
          </w:r>
          <w:r>
            <w:fldChar w:fldCharType="separate"/>
          </w:r>
          <w:r>
            <w:rPr>
              <w:rStyle w:val="25"/>
              <w:rFonts w:hint="eastAsia" w:eastAsia="楷体"/>
              <w:b/>
              <w:bCs/>
            </w:rPr>
            <w:t>（三）推进运输结构调整</w:t>
          </w:r>
          <w:r>
            <w:tab/>
          </w:r>
          <w:r>
            <w:fldChar w:fldCharType="begin"/>
          </w:r>
          <w:r>
            <w:instrText xml:space="preserve"> PAGEREF _Toc98755256 \h </w:instrText>
          </w:r>
          <w:r>
            <w:fldChar w:fldCharType="separate"/>
          </w:r>
          <w:r>
            <w:t>12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"_Toc98755257" </w:instrText>
          </w:r>
          <w:r>
            <w:fldChar w:fldCharType="separate"/>
          </w:r>
          <w:r>
            <w:rPr>
              <w:rStyle w:val="25"/>
              <w:rFonts w:hint="eastAsia" w:eastAsia="楷体"/>
              <w:b/>
              <w:bCs/>
            </w:rPr>
            <w:t>（四）推进农业结构调整</w:t>
          </w:r>
          <w:r>
            <w:tab/>
          </w:r>
          <w:r>
            <w:fldChar w:fldCharType="begin"/>
          </w:r>
          <w:r>
            <w:instrText xml:space="preserve"> PAGEREF _Toc98755257 \h </w:instrText>
          </w:r>
          <w:r>
            <w:fldChar w:fldCharType="separate"/>
          </w:r>
          <w:r>
            <w:t>13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"_Toc98755258" </w:instrText>
          </w:r>
          <w:r>
            <w:fldChar w:fldCharType="separate"/>
          </w:r>
          <w:r>
            <w:rPr>
              <w:rStyle w:val="25"/>
              <w:rFonts w:hint="eastAsia" w:eastAsia="楷体"/>
              <w:b/>
              <w:bCs/>
            </w:rPr>
            <w:t>（五）强化环境准入与管控</w:t>
          </w:r>
          <w:r>
            <w:tab/>
          </w:r>
          <w:r>
            <w:fldChar w:fldCharType="begin"/>
          </w:r>
          <w:r>
            <w:instrText xml:space="preserve"> PAGEREF _Toc98755258 \h </w:instrText>
          </w:r>
          <w:r>
            <w:fldChar w:fldCharType="separate"/>
          </w:r>
          <w:r>
            <w:t>13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"_Toc98755259" </w:instrText>
          </w:r>
          <w:r>
            <w:fldChar w:fldCharType="separate"/>
          </w:r>
          <w:r>
            <w:rPr>
              <w:rStyle w:val="25"/>
              <w:rFonts w:hint="eastAsia" w:ascii="Times New Roman" w:hAnsi="Times New Roman" w:eastAsia="黑体"/>
            </w:rPr>
            <w:t>四、推动碳达峰行动，应对气候变化</w:t>
          </w:r>
          <w:r>
            <w:tab/>
          </w:r>
          <w:r>
            <w:fldChar w:fldCharType="begin"/>
          </w:r>
          <w:r>
            <w:instrText xml:space="preserve"> PAGEREF _Toc98755259 \h </w:instrText>
          </w:r>
          <w:r>
            <w:fldChar w:fldCharType="separate"/>
          </w:r>
          <w:r>
            <w:t>15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"_Toc98755260" </w:instrText>
          </w:r>
          <w:r>
            <w:fldChar w:fldCharType="separate"/>
          </w:r>
          <w:r>
            <w:rPr>
              <w:rStyle w:val="25"/>
              <w:rFonts w:hint="eastAsia" w:eastAsia="楷体"/>
              <w:b/>
              <w:bCs/>
            </w:rPr>
            <w:t>（一）制定碳排放达峰行动方案</w:t>
          </w:r>
          <w:r>
            <w:tab/>
          </w:r>
          <w:r>
            <w:fldChar w:fldCharType="begin"/>
          </w:r>
          <w:r>
            <w:instrText xml:space="preserve"> PAGEREF _Toc98755260 \h </w:instrText>
          </w:r>
          <w:r>
            <w:fldChar w:fldCharType="separate"/>
          </w:r>
          <w:r>
            <w:t>15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"_Toc98755261" </w:instrText>
          </w:r>
          <w:r>
            <w:fldChar w:fldCharType="separate"/>
          </w:r>
          <w:r>
            <w:rPr>
              <w:rStyle w:val="25"/>
              <w:rFonts w:hint="eastAsia" w:eastAsia="楷体"/>
              <w:b/>
              <w:bCs/>
            </w:rPr>
            <w:t>（二）控制温室气体排放</w:t>
          </w:r>
          <w:r>
            <w:tab/>
          </w:r>
          <w:r>
            <w:fldChar w:fldCharType="begin"/>
          </w:r>
          <w:r>
            <w:instrText xml:space="preserve"> PAGEREF _Toc98755261 \h </w:instrText>
          </w:r>
          <w:r>
            <w:fldChar w:fldCharType="separate"/>
          </w:r>
          <w:r>
            <w:t>15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"_Toc98755262" </w:instrText>
          </w:r>
          <w:r>
            <w:fldChar w:fldCharType="separate"/>
          </w:r>
          <w:r>
            <w:rPr>
              <w:rStyle w:val="25"/>
              <w:rFonts w:hint="eastAsia" w:eastAsia="楷体"/>
              <w:b/>
              <w:bCs/>
            </w:rPr>
            <w:t>（三）主动适用气候变化</w:t>
          </w:r>
          <w:r>
            <w:tab/>
          </w:r>
          <w:r>
            <w:fldChar w:fldCharType="begin"/>
          </w:r>
          <w:r>
            <w:instrText xml:space="preserve"> PAGEREF _Toc98755262 \h </w:instrText>
          </w:r>
          <w:r>
            <w:fldChar w:fldCharType="separate"/>
          </w:r>
          <w:r>
            <w:t>15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"_Toc98755263" </w:instrText>
          </w:r>
          <w:r>
            <w:fldChar w:fldCharType="separate"/>
          </w:r>
          <w:r>
            <w:rPr>
              <w:rStyle w:val="25"/>
              <w:rFonts w:hint="eastAsia" w:ascii="Times New Roman" w:hAnsi="Times New Roman" w:eastAsia="黑体"/>
            </w:rPr>
            <w:t>五、加强协同治理，力争空气质量稳定达标</w:t>
          </w:r>
          <w:r>
            <w:tab/>
          </w:r>
          <w:r>
            <w:fldChar w:fldCharType="begin"/>
          </w:r>
          <w:r>
            <w:instrText xml:space="preserve"> PAGEREF _Toc98755263 \h </w:instrText>
          </w:r>
          <w:r>
            <w:fldChar w:fldCharType="separate"/>
          </w:r>
          <w:r>
            <w:t>17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"_Toc98755264" </w:instrText>
          </w:r>
          <w:r>
            <w:fldChar w:fldCharType="separate"/>
          </w:r>
          <w:r>
            <w:rPr>
              <w:rStyle w:val="25"/>
              <w:rFonts w:hint="eastAsia" w:eastAsia="楷体"/>
              <w:b/>
              <w:bCs/>
            </w:rPr>
            <w:t>（一）推动多污染物协同减排</w:t>
          </w:r>
          <w:r>
            <w:tab/>
          </w:r>
          <w:r>
            <w:fldChar w:fldCharType="begin"/>
          </w:r>
          <w:r>
            <w:instrText xml:space="preserve"> PAGEREF _Toc98755264 \h </w:instrText>
          </w:r>
          <w:r>
            <w:fldChar w:fldCharType="separate"/>
          </w:r>
          <w:r>
            <w:t>17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"_Toc98755265" </w:instrText>
          </w:r>
          <w:r>
            <w:fldChar w:fldCharType="separate"/>
          </w:r>
          <w:r>
            <w:rPr>
              <w:rStyle w:val="25"/>
              <w:rFonts w:hint="eastAsia" w:eastAsia="楷体"/>
              <w:b/>
              <w:bCs/>
            </w:rPr>
            <w:t>（二）</w:t>
          </w:r>
          <w:r>
            <w:rPr>
              <w:rStyle w:val="25"/>
              <w:rFonts w:hint="eastAsia" w:eastAsia="楷体"/>
              <w:b/>
              <w:bCs/>
              <w:lang w:val="zh-CN"/>
            </w:rPr>
            <w:t>加强</w:t>
          </w:r>
          <w:r>
            <w:rPr>
              <w:rStyle w:val="25"/>
              <w:rFonts w:hint="eastAsia" w:eastAsia="楷体"/>
              <w:b/>
              <w:bCs/>
            </w:rPr>
            <w:t>固定源</w:t>
          </w:r>
          <w:r>
            <w:rPr>
              <w:rStyle w:val="25"/>
              <w:rFonts w:hint="eastAsia" w:eastAsia="楷体"/>
              <w:b/>
              <w:bCs/>
              <w:lang w:val="zh-CN"/>
            </w:rPr>
            <w:t>污染综合治理</w:t>
          </w:r>
          <w:r>
            <w:tab/>
          </w:r>
          <w:r>
            <w:fldChar w:fldCharType="begin"/>
          </w:r>
          <w:r>
            <w:instrText xml:space="preserve"> PAGEREF _Toc98755265 \h </w:instrText>
          </w:r>
          <w:r>
            <w:fldChar w:fldCharType="separate"/>
          </w:r>
          <w:r>
            <w:t>17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"_Toc98755266" </w:instrText>
          </w:r>
          <w:r>
            <w:fldChar w:fldCharType="separate"/>
          </w:r>
          <w:r>
            <w:rPr>
              <w:rStyle w:val="25"/>
              <w:rFonts w:hint="eastAsia" w:eastAsia="楷体"/>
              <w:b/>
              <w:bCs/>
            </w:rPr>
            <w:t>（三）推进移动源污染防治</w:t>
          </w:r>
          <w:r>
            <w:tab/>
          </w:r>
          <w:r>
            <w:fldChar w:fldCharType="begin"/>
          </w:r>
          <w:r>
            <w:instrText xml:space="preserve"> PAGEREF _Toc98755266 \h </w:instrText>
          </w:r>
          <w:r>
            <w:fldChar w:fldCharType="separate"/>
          </w:r>
          <w:r>
            <w:t>18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"_Toc98755267" </w:instrText>
          </w:r>
          <w:r>
            <w:fldChar w:fldCharType="separate"/>
          </w:r>
          <w:r>
            <w:rPr>
              <w:rStyle w:val="25"/>
              <w:rFonts w:hint="eastAsia" w:eastAsia="楷体"/>
              <w:b/>
              <w:bCs/>
            </w:rPr>
            <w:t>（四）强化面源污染治理</w:t>
          </w:r>
          <w:r>
            <w:tab/>
          </w:r>
          <w:r>
            <w:fldChar w:fldCharType="begin"/>
          </w:r>
          <w:r>
            <w:instrText xml:space="preserve"> PAGEREF _Toc98755267 \h </w:instrText>
          </w:r>
          <w:r>
            <w:fldChar w:fldCharType="separate"/>
          </w:r>
          <w:r>
            <w:t>19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"_Toc98755268" </w:instrText>
          </w:r>
          <w:r>
            <w:fldChar w:fldCharType="separate"/>
          </w:r>
          <w:r>
            <w:rPr>
              <w:rStyle w:val="25"/>
              <w:rFonts w:hint="eastAsia" w:eastAsia="楷体"/>
              <w:b/>
              <w:bCs/>
            </w:rPr>
            <w:t>（五）加强重污染天气应急响应</w:t>
          </w:r>
          <w:r>
            <w:tab/>
          </w:r>
          <w:r>
            <w:fldChar w:fldCharType="begin"/>
          </w:r>
          <w:r>
            <w:instrText xml:space="preserve"> PAGEREF _Toc98755268 \h </w:instrText>
          </w:r>
          <w:r>
            <w:fldChar w:fldCharType="separate"/>
          </w:r>
          <w:r>
            <w:t>20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"_Toc98755269" </w:instrText>
          </w:r>
          <w:r>
            <w:fldChar w:fldCharType="separate"/>
          </w:r>
          <w:r>
            <w:rPr>
              <w:rStyle w:val="25"/>
              <w:rFonts w:hint="eastAsia" w:eastAsia="楷体"/>
              <w:b/>
              <w:bCs/>
            </w:rPr>
            <w:t>（六）加强其他污染治理</w:t>
          </w:r>
          <w:r>
            <w:tab/>
          </w:r>
          <w:r>
            <w:fldChar w:fldCharType="begin"/>
          </w:r>
          <w:r>
            <w:instrText xml:space="preserve"> PAGEREF _Toc98755269 \h </w:instrText>
          </w:r>
          <w:r>
            <w:fldChar w:fldCharType="separate"/>
          </w:r>
          <w:r>
            <w:t>20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"_Toc98755270" </w:instrText>
          </w:r>
          <w:r>
            <w:fldChar w:fldCharType="separate"/>
          </w:r>
          <w:r>
            <w:rPr>
              <w:rStyle w:val="25"/>
              <w:rFonts w:hint="eastAsia" w:ascii="Times New Roman" w:hAnsi="Times New Roman" w:eastAsia="黑体"/>
            </w:rPr>
            <w:t>六、深化系统治理，提高水环境质量</w:t>
          </w:r>
          <w:r>
            <w:tab/>
          </w:r>
          <w:r>
            <w:fldChar w:fldCharType="begin"/>
          </w:r>
          <w:r>
            <w:instrText xml:space="preserve"> PAGEREF _Toc98755270 \h </w:instrText>
          </w:r>
          <w:r>
            <w:fldChar w:fldCharType="separate"/>
          </w:r>
          <w:r>
            <w:t>21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"_Toc98755271" </w:instrText>
          </w:r>
          <w:r>
            <w:fldChar w:fldCharType="separate"/>
          </w:r>
          <w:r>
            <w:rPr>
              <w:rStyle w:val="25"/>
              <w:rFonts w:hint="eastAsia" w:eastAsia="楷体"/>
              <w:b/>
              <w:bCs/>
            </w:rPr>
            <w:t>（一）加强饮用水水源地保护</w:t>
          </w:r>
          <w:r>
            <w:tab/>
          </w:r>
          <w:r>
            <w:fldChar w:fldCharType="begin"/>
          </w:r>
          <w:r>
            <w:instrText xml:space="preserve"> PAGEREF _Toc98755271 \h </w:instrText>
          </w:r>
          <w:r>
            <w:fldChar w:fldCharType="separate"/>
          </w:r>
          <w:r>
            <w:t>21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"_Toc98755272" </w:instrText>
          </w:r>
          <w:r>
            <w:fldChar w:fldCharType="separate"/>
          </w:r>
          <w:r>
            <w:rPr>
              <w:rStyle w:val="25"/>
              <w:rFonts w:hint="eastAsia" w:eastAsia="楷体"/>
              <w:b/>
              <w:bCs/>
            </w:rPr>
            <w:t>（二）持续深化水环境治理</w:t>
          </w:r>
          <w:r>
            <w:tab/>
          </w:r>
          <w:r>
            <w:fldChar w:fldCharType="begin"/>
          </w:r>
          <w:r>
            <w:instrText xml:space="preserve"> PAGEREF _Toc98755272 \h </w:instrText>
          </w:r>
          <w:r>
            <w:fldChar w:fldCharType="separate"/>
          </w:r>
          <w:r>
            <w:t>21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"_Toc98755273" </w:instrText>
          </w:r>
          <w:r>
            <w:fldChar w:fldCharType="separate"/>
          </w:r>
          <w:r>
            <w:rPr>
              <w:rStyle w:val="25"/>
              <w:rFonts w:hint="eastAsia" w:eastAsia="楷体"/>
              <w:b/>
              <w:bCs/>
            </w:rPr>
            <w:t>（三）强化水资源保障与利用</w:t>
          </w:r>
          <w:r>
            <w:tab/>
          </w:r>
          <w:r>
            <w:fldChar w:fldCharType="begin"/>
          </w:r>
          <w:r>
            <w:instrText xml:space="preserve"> PAGEREF _Toc98755273 \h </w:instrText>
          </w:r>
          <w:r>
            <w:fldChar w:fldCharType="separate"/>
          </w:r>
          <w:r>
            <w:t>23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"_Toc98755274" </w:instrText>
          </w:r>
          <w:r>
            <w:fldChar w:fldCharType="separate"/>
          </w:r>
          <w:r>
            <w:rPr>
              <w:rStyle w:val="25"/>
              <w:rFonts w:hint="eastAsia" w:ascii="Times New Roman" w:hAnsi="Times New Roman" w:eastAsia="黑体"/>
            </w:rPr>
            <w:t>七、加强土壤和地下水污染防治</w:t>
          </w:r>
          <w:r>
            <w:tab/>
          </w:r>
          <w:r>
            <w:fldChar w:fldCharType="begin"/>
          </w:r>
          <w:r>
            <w:instrText xml:space="preserve"> PAGEREF _Toc98755274 \h </w:instrText>
          </w:r>
          <w:r>
            <w:fldChar w:fldCharType="separate"/>
          </w:r>
          <w:r>
            <w:t>25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"_Toc98755275" </w:instrText>
          </w:r>
          <w:r>
            <w:fldChar w:fldCharType="separate"/>
          </w:r>
          <w:r>
            <w:rPr>
              <w:rStyle w:val="25"/>
              <w:rFonts w:hint="eastAsia" w:eastAsia="楷体"/>
              <w:b/>
              <w:bCs/>
            </w:rPr>
            <w:t>（一）加强土壤污染源头预防</w:t>
          </w:r>
          <w:r>
            <w:tab/>
          </w:r>
          <w:r>
            <w:fldChar w:fldCharType="begin"/>
          </w:r>
          <w:r>
            <w:instrText xml:space="preserve"> PAGEREF _Toc98755275 \h </w:instrText>
          </w:r>
          <w:r>
            <w:fldChar w:fldCharType="separate"/>
          </w:r>
          <w:r>
            <w:t>25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"_Toc98755276" </w:instrText>
          </w:r>
          <w:r>
            <w:fldChar w:fldCharType="separate"/>
          </w:r>
          <w:r>
            <w:rPr>
              <w:rStyle w:val="25"/>
              <w:rFonts w:hint="eastAsia" w:eastAsia="楷体"/>
              <w:b/>
              <w:bCs/>
            </w:rPr>
            <w:t>（二）提升农用地安全利用水平</w:t>
          </w:r>
          <w:r>
            <w:tab/>
          </w:r>
          <w:r>
            <w:fldChar w:fldCharType="begin"/>
          </w:r>
          <w:r>
            <w:instrText xml:space="preserve"> PAGEREF _Toc98755276 \h </w:instrText>
          </w:r>
          <w:r>
            <w:fldChar w:fldCharType="separate"/>
          </w:r>
          <w:r>
            <w:t>25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"_Toc98755277" </w:instrText>
          </w:r>
          <w:r>
            <w:fldChar w:fldCharType="separate"/>
          </w:r>
          <w:r>
            <w:rPr>
              <w:rStyle w:val="25"/>
              <w:rFonts w:hint="eastAsia" w:eastAsia="楷体"/>
              <w:b/>
              <w:bCs/>
            </w:rPr>
            <w:t>（三）落实</w:t>
          </w:r>
          <w:r>
            <w:rPr>
              <w:rStyle w:val="25"/>
              <w:rFonts w:hint="eastAsia" w:eastAsia="楷体"/>
              <w:b/>
              <w:bCs/>
              <w:lang w:val="zh-CN"/>
            </w:rPr>
            <w:t>建设用地风险管控和修复</w:t>
          </w:r>
          <w:r>
            <w:tab/>
          </w:r>
          <w:r>
            <w:fldChar w:fldCharType="begin"/>
          </w:r>
          <w:r>
            <w:instrText xml:space="preserve"> PAGEREF _Toc98755277 \h </w:instrText>
          </w:r>
          <w:r>
            <w:fldChar w:fldCharType="separate"/>
          </w:r>
          <w:r>
            <w:t>26</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"_Toc98755278" </w:instrText>
          </w:r>
          <w:r>
            <w:fldChar w:fldCharType="separate"/>
          </w:r>
          <w:r>
            <w:rPr>
              <w:rStyle w:val="25"/>
              <w:rFonts w:hint="eastAsia" w:eastAsia="楷体"/>
              <w:b/>
              <w:bCs/>
            </w:rPr>
            <w:t>（四）加强地下水环境风险防控</w:t>
          </w:r>
          <w:r>
            <w:tab/>
          </w:r>
          <w:r>
            <w:fldChar w:fldCharType="begin"/>
          </w:r>
          <w:r>
            <w:instrText xml:space="preserve"> PAGEREF _Toc98755278 \h </w:instrText>
          </w:r>
          <w:r>
            <w:fldChar w:fldCharType="separate"/>
          </w:r>
          <w:r>
            <w:t>26</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"_Toc98755279" </w:instrText>
          </w:r>
          <w:r>
            <w:fldChar w:fldCharType="separate"/>
          </w:r>
          <w:r>
            <w:rPr>
              <w:rStyle w:val="25"/>
              <w:rFonts w:hint="eastAsia" w:eastAsia="楷体"/>
              <w:b/>
              <w:bCs/>
            </w:rPr>
            <w:t>（五）加强土壤与地下水的协同共治</w:t>
          </w:r>
          <w:r>
            <w:tab/>
          </w:r>
          <w:r>
            <w:fldChar w:fldCharType="begin"/>
          </w:r>
          <w:r>
            <w:instrText xml:space="preserve"> PAGEREF _Toc98755279 \h </w:instrText>
          </w:r>
          <w:r>
            <w:fldChar w:fldCharType="separate"/>
          </w:r>
          <w:r>
            <w:t>27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"_Toc98755280" </w:instrText>
          </w:r>
          <w:r>
            <w:fldChar w:fldCharType="separate"/>
          </w:r>
          <w:r>
            <w:rPr>
              <w:rStyle w:val="25"/>
              <w:rFonts w:hint="eastAsia" w:ascii="Times New Roman" w:hAnsi="Times New Roman" w:eastAsia="黑体"/>
            </w:rPr>
            <w:t>八、深入农村整治，提升人居环境</w:t>
          </w:r>
          <w:r>
            <w:tab/>
          </w:r>
          <w:r>
            <w:fldChar w:fldCharType="begin"/>
          </w:r>
          <w:r>
            <w:instrText xml:space="preserve"> PAGEREF _Toc98755280 \h </w:instrText>
          </w:r>
          <w:r>
            <w:fldChar w:fldCharType="separate"/>
          </w:r>
          <w:r>
            <w:t>28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"_Toc98755281" </w:instrText>
          </w:r>
          <w:r>
            <w:fldChar w:fldCharType="separate"/>
          </w:r>
          <w:r>
            <w:rPr>
              <w:rStyle w:val="25"/>
              <w:rFonts w:hint="eastAsia" w:eastAsia="楷体"/>
              <w:b/>
              <w:bCs/>
            </w:rPr>
            <w:t>（一）加强农村饮用水源地保护</w:t>
          </w:r>
          <w:r>
            <w:tab/>
          </w:r>
          <w:r>
            <w:fldChar w:fldCharType="begin"/>
          </w:r>
          <w:r>
            <w:instrText xml:space="preserve"> PAGEREF _Toc98755281 \h </w:instrText>
          </w:r>
          <w:r>
            <w:fldChar w:fldCharType="separate"/>
          </w:r>
          <w:r>
            <w:t>28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"_Toc98755282" </w:instrText>
          </w:r>
          <w:r>
            <w:fldChar w:fldCharType="separate"/>
          </w:r>
          <w:r>
            <w:rPr>
              <w:rStyle w:val="25"/>
              <w:rFonts w:hint="eastAsia" w:eastAsia="楷体"/>
              <w:b/>
              <w:bCs/>
            </w:rPr>
            <w:t>（二）深化农村生活污染治理</w:t>
          </w:r>
          <w:r>
            <w:tab/>
          </w:r>
          <w:r>
            <w:fldChar w:fldCharType="begin"/>
          </w:r>
          <w:r>
            <w:instrText xml:space="preserve"> PAGEREF _Toc98755282 \h </w:instrText>
          </w:r>
          <w:r>
            <w:fldChar w:fldCharType="separate"/>
          </w:r>
          <w:r>
            <w:t>28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"_Toc98755283" </w:instrText>
          </w:r>
          <w:r>
            <w:fldChar w:fldCharType="separate"/>
          </w:r>
          <w:r>
            <w:rPr>
              <w:rStyle w:val="25"/>
              <w:rFonts w:hint="eastAsia" w:eastAsia="楷体"/>
              <w:b/>
              <w:bCs/>
            </w:rPr>
            <w:t>（三）开展农业面源污染防治</w:t>
          </w:r>
          <w:r>
            <w:tab/>
          </w:r>
          <w:r>
            <w:fldChar w:fldCharType="begin"/>
          </w:r>
          <w:r>
            <w:instrText xml:space="preserve"> PAGEREF _Toc98755283 \h </w:instrText>
          </w:r>
          <w:r>
            <w:fldChar w:fldCharType="separate"/>
          </w:r>
          <w:r>
            <w:t>29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"_Toc98755284" </w:instrText>
          </w:r>
          <w:r>
            <w:fldChar w:fldCharType="separate"/>
          </w:r>
          <w:r>
            <w:rPr>
              <w:rStyle w:val="25"/>
              <w:rFonts w:hint="eastAsia" w:eastAsia="楷体"/>
              <w:b/>
              <w:bCs/>
            </w:rPr>
            <w:t>（四）推进农村黑臭水体治理</w:t>
          </w:r>
          <w:r>
            <w:tab/>
          </w:r>
          <w:r>
            <w:fldChar w:fldCharType="begin"/>
          </w:r>
          <w:r>
            <w:instrText xml:space="preserve"> PAGEREF _Toc98755284 \h </w:instrText>
          </w:r>
          <w:r>
            <w:fldChar w:fldCharType="separate"/>
          </w:r>
          <w:r>
            <w:t>30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"_Toc98755285" </w:instrText>
          </w:r>
          <w:r>
            <w:fldChar w:fldCharType="separate"/>
          </w:r>
          <w:r>
            <w:rPr>
              <w:rStyle w:val="25"/>
              <w:rFonts w:hint="eastAsia" w:ascii="Times New Roman" w:hAnsi="Times New Roman" w:eastAsia="黑体"/>
            </w:rPr>
            <w:t>九、加强生态监管，保障生态安全</w:t>
          </w:r>
          <w:r>
            <w:tab/>
          </w:r>
          <w:r>
            <w:fldChar w:fldCharType="begin"/>
          </w:r>
          <w:r>
            <w:instrText xml:space="preserve"> PAGEREF _Toc98755285 \h </w:instrText>
          </w:r>
          <w:r>
            <w:fldChar w:fldCharType="separate"/>
          </w:r>
          <w:r>
            <w:t>32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"_Toc98755286" </w:instrText>
          </w:r>
          <w:r>
            <w:fldChar w:fldCharType="separate"/>
          </w:r>
          <w:r>
            <w:rPr>
              <w:rStyle w:val="25"/>
              <w:rFonts w:hint="eastAsia" w:eastAsia="楷体"/>
              <w:b/>
              <w:bCs/>
            </w:rPr>
            <w:t>（一）构筑生态安全格局</w:t>
          </w:r>
          <w:r>
            <w:tab/>
          </w:r>
          <w:r>
            <w:fldChar w:fldCharType="begin"/>
          </w:r>
          <w:r>
            <w:instrText xml:space="preserve"> PAGEREF _Toc98755286 \h </w:instrText>
          </w:r>
          <w:r>
            <w:fldChar w:fldCharType="separate"/>
          </w:r>
          <w:r>
            <w:t>32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"_Toc98755287" </w:instrText>
          </w:r>
          <w:r>
            <w:fldChar w:fldCharType="separate"/>
          </w:r>
          <w:r>
            <w:rPr>
              <w:rStyle w:val="25"/>
              <w:rFonts w:hint="eastAsia" w:eastAsia="楷体"/>
              <w:b/>
              <w:bCs/>
            </w:rPr>
            <w:t>（二）加强重要生态系统保护与修复</w:t>
          </w:r>
          <w:r>
            <w:tab/>
          </w:r>
          <w:r>
            <w:fldChar w:fldCharType="begin"/>
          </w:r>
          <w:r>
            <w:instrText xml:space="preserve"> PAGEREF _Toc98755287 \h </w:instrText>
          </w:r>
          <w:r>
            <w:fldChar w:fldCharType="separate"/>
          </w:r>
          <w:r>
            <w:t>32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"_Toc98755288" </w:instrText>
          </w:r>
          <w:r>
            <w:fldChar w:fldCharType="separate"/>
          </w:r>
          <w:r>
            <w:rPr>
              <w:rStyle w:val="25"/>
              <w:rFonts w:hint="eastAsia" w:eastAsia="楷体"/>
              <w:b/>
              <w:bCs/>
            </w:rPr>
            <w:t>（三）加大生物多样性保护力度</w:t>
          </w:r>
          <w:r>
            <w:tab/>
          </w:r>
          <w:r>
            <w:fldChar w:fldCharType="begin"/>
          </w:r>
          <w:r>
            <w:instrText xml:space="preserve"> PAGEREF _Toc98755288 \h </w:instrText>
          </w:r>
          <w:r>
            <w:fldChar w:fldCharType="separate"/>
          </w:r>
          <w:r>
            <w:t>33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"_Toc98755289" </w:instrText>
          </w:r>
          <w:r>
            <w:fldChar w:fldCharType="separate"/>
          </w:r>
          <w:r>
            <w:rPr>
              <w:rStyle w:val="25"/>
              <w:rFonts w:hint="eastAsia" w:eastAsia="楷体"/>
              <w:b/>
              <w:bCs/>
            </w:rPr>
            <w:t>（四）强化生态保护监督管理</w:t>
          </w:r>
          <w:r>
            <w:tab/>
          </w:r>
          <w:r>
            <w:fldChar w:fldCharType="begin"/>
          </w:r>
          <w:r>
            <w:instrText xml:space="preserve"> PAGEREF _Toc98755289 \h </w:instrText>
          </w:r>
          <w:r>
            <w:fldChar w:fldCharType="separate"/>
          </w:r>
          <w:r>
            <w:t>34</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"_Toc98755290" </w:instrText>
          </w:r>
          <w:r>
            <w:fldChar w:fldCharType="separate"/>
          </w:r>
          <w:r>
            <w:rPr>
              <w:rStyle w:val="25"/>
              <w:rFonts w:hint="eastAsia" w:ascii="Times New Roman" w:hAnsi="Times New Roman" w:eastAsia="黑体"/>
            </w:rPr>
            <w:t>十、加强风险防范，筑牢环境安全底线</w:t>
          </w:r>
          <w:r>
            <w:tab/>
          </w:r>
          <w:r>
            <w:fldChar w:fldCharType="begin"/>
          </w:r>
          <w:r>
            <w:instrText xml:space="preserve"> PAGEREF _Toc98755290 \h </w:instrText>
          </w:r>
          <w:r>
            <w:fldChar w:fldCharType="separate"/>
          </w:r>
          <w:r>
            <w:t>35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"_Toc98755291" </w:instrText>
          </w:r>
          <w:r>
            <w:fldChar w:fldCharType="separate"/>
          </w:r>
          <w:r>
            <w:rPr>
              <w:rStyle w:val="25"/>
              <w:rFonts w:hint="eastAsia" w:eastAsia="楷体"/>
              <w:b/>
              <w:bCs/>
            </w:rPr>
            <w:t>（一）强化环境风险源头防控</w:t>
          </w:r>
          <w:r>
            <w:tab/>
          </w:r>
          <w:r>
            <w:fldChar w:fldCharType="begin"/>
          </w:r>
          <w:r>
            <w:instrText xml:space="preserve"> PAGEREF _Toc98755291 \h </w:instrText>
          </w:r>
          <w:r>
            <w:fldChar w:fldCharType="separate"/>
          </w:r>
          <w:r>
            <w:t>35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"_Toc98755292" </w:instrText>
          </w:r>
          <w:r>
            <w:fldChar w:fldCharType="separate"/>
          </w:r>
          <w:r>
            <w:rPr>
              <w:rStyle w:val="25"/>
              <w:rFonts w:hint="eastAsia" w:eastAsia="楷体"/>
              <w:b/>
              <w:bCs/>
            </w:rPr>
            <w:t>（二）严控重点领域环境风险</w:t>
          </w:r>
          <w:r>
            <w:tab/>
          </w:r>
          <w:r>
            <w:fldChar w:fldCharType="begin"/>
          </w:r>
          <w:r>
            <w:instrText xml:space="preserve"> PAGEREF _Toc98755292 \h </w:instrText>
          </w:r>
          <w:r>
            <w:fldChar w:fldCharType="separate"/>
          </w:r>
          <w:r>
            <w:t>35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"_Toc98755293" </w:instrText>
          </w:r>
          <w:r>
            <w:fldChar w:fldCharType="separate"/>
          </w:r>
          <w:r>
            <w:rPr>
              <w:rStyle w:val="25"/>
              <w:rFonts w:hint="eastAsia" w:eastAsia="楷体"/>
              <w:b/>
              <w:bCs/>
            </w:rPr>
            <w:t>（三）持续推进</w:t>
          </w:r>
          <w:r>
            <w:rPr>
              <w:rStyle w:val="25"/>
              <w:rFonts w:eastAsia="楷体"/>
              <w:b/>
              <w:bCs/>
            </w:rPr>
            <w:t>“</w:t>
          </w:r>
          <w:r>
            <w:rPr>
              <w:rStyle w:val="25"/>
              <w:rFonts w:hint="eastAsia" w:eastAsia="楷体"/>
              <w:b/>
              <w:bCs/>
            </w:rPr>
            <w:t>无废城市</w:t>
          </w:r>
          <w:r>
            <w:rPr>
              <w:rStyle w:val="25"/>
              <w:rFonts w:eastAsia="楷体"/>
              <w:b/>
              <w:bCs/>
            </w:rPr>
            <w:t>”</w:t>
          </w:r>
          <w:r>
            <w:rPr>
              <w:rStyle w:val="25"/>
              <w:rFonts w:hint="eastAsia" w:eastAsia="楷体"/>
              <w:b/>
              <w:bCs/>
            </w:rPr>
            <w:t>建设</w:t>
          </w:r>
          <w:r>
            <w:tab/>
          </w:r>
          <w:r>
            <w:fldChar w:fldCharType="begin"/>
          </w:r>
          <w:r>
            <w:instrText xml:space="preserve"> PAGEREF _Toc98755293 \h </w:instrText>
          </w:r>
          <w:r>
            <w:fldChar w:fldCharType="separate"/>
          </w:r>
          <w:r>
            <w:t>37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"_Toc98755294" </w:instrText>
          </w:r>
          <w:r>
            <w:fldChar w:fldCharType="separate"/>
          </w:r>
          <w:r>
            <w:rPr>
              <w:rStyle w:val="25"/>
              <w:rFonts w:hint="eastAsia" w:eastAsia="楷体"/>
              <w:b/>
              <w:bCs/>
            </w:rPr>
            <w:t>（四）加强核与辐射污染防治</w:t>
          </w:r>
          <w:r>
            <w:tab/>
          </w:r>
          <w:r>
            <w:fldChar w:fldCharType="begin"/>
          </w:r>
          <w:r>
            <w:instrText xml:space="preserve"> PAGEREF _Toc98755294 \h </w:instrText>
          </w:r>
          <w:r>
            <w:fldChar w:fldCharType="separate"/>
          </w:r>
          <w:r>
            <w:t>38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"_Toc98755295" </w:instrText>
          </w:r>
          <w:r>
            <w:fldChar w:fldCharType="separate"/>
          </w:r>
          <w:r>
            <w:rPr>
              <w:rStyle w:val="25"/>
              <w:rFonts w:hint="eastAsia" w:eastAsia="楷体"/>
              <w:b/>
              <w:bCs/>
            </w:rPr>
            <w:t>（五）健全环境应急管理体系</w:t>
          </w:r>
          <w:r>
            <w:tab/>
          </w:r>
          <w:r>
            <w:fldChar w:fldCharType="begin"/>
          </w:r>
          <w:r>
            <w:instrText xml:space="preserve"> PAGEREF _Toc98755295 \h </w:instrText>
          </w:r>
          <w:r>
            <w:fldChar w:fldCharType="separate"/>
          </w:r>
          <w:r>
            <w:t>38</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"_Toc98755296" </w:instrText>
          </w:r>
          <w:r>
            <w:fldChar w:fldCharType="separate"/>
          </w:r>
          <w:r>
            <w:rPr>
              <w:rStyle w:val="25"/>
              <w:rFonts w:hint="eastAsia" w:ascii="Times New Roman" w:hAnsi="Times New Roman" w:eastAsia="黑体"/>
            </w:rPr>
            <w:t>十一、深化改革创新，健全环境治理体系</w:t>
          </w:r>
          <w:r>
            <w:tab/>
          </w:r>
          <w:r>
            <w:fldChar w:fldCharType="begin"/>
          </w:r>
          <w:r>
            <w:instrText xml:space="preserve"> PAGEREF _Toc98755296 \h </w:instrText>
          </w:r>
          <w:r>
            <w:fldChar w:fldCharType="separate"/>
          </w:r>
          <w:r>
            <w:t>39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"_Toc98755297" </w:instrText>
          </w:r>
          <w:r>
            <w:fldChar w:fldCharType="separate"/>
          </w:r>
          <w:r>
            <w:rPr>
              <w:rStyle w:val="25"/>
              <w:rFonts w:hint="eastAsia" w:eastAsia="楷体"/>
              <w:b/>
              <w:bCs/>
            </w:rPr>
            <w:t>（一）完善生态环境治理领导责任体系</w:t>
          </w:r>
          <w:r>
            <w:tab/>
          </w:r>
          <w:r>
            <w:fldChar w:fldCharType="begin"/>
          </w:r>
          <w:r>
            <w:instrText xml:space="preserve"> PAGEREF _Toc98755297 \h </w:instrText>
          </w:r>
          <w:r>
            <w:fldChar w:fldCharType="separate"/>
          </w:r>
          <w:r>
            <w:t>39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"_Toc98755298" </w:instrText>
          </w:r>
          <w:r>
            <w:fldChar w:fldCharType="separate"/>
          </w:r>
          <w:r>
            <w:rPr>
              <w:rStyle w:val="25"/>
              <w:rFonts w:hint="eastAsia" w:eastAsia="楷体"/>
              <w:b/>
              <w:bCs/>
            </w:rPr>
            <w:t>（二）完善责任追究制度</w:t>
          </w:r>
          <w:r>
            <w:tab/>
          </w:r>
          <w:r>
            <w:fldChar w:fldCharType="begin"/>
          </w:r>
          <w:r>
            <w:instrText xml:space="preserve"> PAGEREF _Toc98755298 \h </w:instrText>
          </w:r>
          <w:r>
            <w:fldChar w:fldCharType="separate"/>
          </w:r>
          <w:r>
            <w:t>39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"_Toc98755299" </w:instrText>
          </w:r>
          <w:r>
            <w:fldChar w:fldCharType="separate"/>
          </w:r>
          <w:r>
            <w:rPr>
              <w:rStyle w:val="25"/>
              <w:rFonts w:hint="eastAsia" w:eastAsia="楷体"/>
              <w:b/>
              <w:bCs/>
            </w:rPr>
            <w:t>（三）健全服务高质量发展政策体系</w:t>
          </w:r>
          <w:r>
            <w:tab/>
          </w:r>
          <w:r>
            <w:fldChar w:fldCharType="begin"/>
          </w:r>
          <w:r>
            <w:instrText xml:space="preserve"> PAGEREF _Toc98755299 \h </w:instrText>
          </w:r>
          <w:r>
            <w:fldChar w:fldCharType="separate"/>
          </w:r>
          <w:r>
            <w:t>39</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"_Toc98755300" </w:instrText>
          </w:r>
          <w:r>
            <w:fldChar w:fldCharType="separate"/>
          </w:r>
          <w:r>
            <w:rPr>
              <w:rStyle w:val="25"/>
              <w:rFonts w:hint="eastAsia" w:eastAsia="楷体"/>
              <w:b/>
              <w:bCs/>
            </w:rPr>
            <w:t>（四）健全生态环境市场经济政策</w:t>
          </w:r>
          <w:r>
            <w:tab/>
          </w:r>
          <w:r>
            <w:fldChar w:fldCharType="begin"/>
          </w:r>
          <w:r>
            <w:instrText xml:space="preserve"> PAGEREF _Toc98755300 \h </w:instrText>
          </w:r>
          <w:r>
            <w:fldChar w:fldCharType="separate"/>
          </w:r>
          <w:r>
            <w:t>40</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"_Toc98755301" </w:instrText>
          </w:r>
          <w:r>
            <w:fldChar w:fldCharType="separate"/>
          </w:r>
          <w:r>
            <w:rPr>
              <w:rStyle w:val="25"/>
              <w:rFonts w:hint="eastAsia" w:eastAsia="楷体"/>
              <w:b/>
              <w:bCs/>
            </w:rPr>
            <w:t>（五）夯实企业生态环境治理责任体系</w:t>
          </w:r>
          <w:r>
            <w:tab/>
          </w:r>
          <w:r>
            <w:fldChar w:fldCharType="begin"/>
          </w:r>
          <w:r>
            <w:instrText xml:space="preserve"> PAGEREF _Toc98755301 \h </w:instrText>
          </w:r>
          <w:r>
            <w:fldChar w:fldCharType="separate"/>
          </w:r>
          <w:r>
            <w:t>41</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"_Toc98755302" </w:instrText>
          </w:r>
          <w:r>
            <w:fldChar w:fldCharType="separate"/>
          </w:r>
          <w:r>
            <w:rPr>
              <w:rStyle w:val="25"/>
              <w:rFonts w:hint="eastAsia" w:eastAsia="楷体"/>
              <w:b/>
              <w:bCs/>
            </w:rPr>
            <w:t>（六）构建生态环境治理全民行动体系</w:t>
          </w:r>
          <w:r>
            <w:tab/>
          </w:r>
          <w:r>
            <w:fldChar w:fldCharType="begin"/>
          </w:r>
          <w:r>
            <w:instrText xml:space="preserve"> PAGEREF _Toc98755302 \h </w:instrText>
          </w:r>
          <w:r>
            <w:fldChar w:fldCharType="separate"/>
          </w:r>
          <w:r>
            <w:t>42</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"_Toc98755303" </w:instrText>
          </w:r>
          <w:r>
            <w:fldChar w:fldCharType="separate"/>
          </w:r>
          <w:r>
            <w:rPr>
              <w:rStyle w:val="25"/>
              <w:rFonts w:hint="eastAsia" w:eastAsia="楷体"/>
              <w:b/>
              <w:bCs/>
            </w:rPr>
            <w:t>（七）提升生态环境治理能力</w:t>
          </w:r>
          <w:r>
            <w:tab/>
          </w:r>
          <w:r>
            <w:fldChar w:fldCharType="begin"/>
          </w:r>
          <w:r>
            <w:instrText xml:space="preserve"> PAGEREF _Toc98755303 \h </w:instrText>
          </w:r>
          <w:r>
            <w:fldChar w:fldCharType="separate"/>
          </w:r>
          <w:r>
            <w:t>43</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"_Toc98755304" </w:instrText>
          </w:r>
          <w:r>
            <w:fldChar w:fldCharType="separate"/>
          </w:r>
          <w:r>
            <w:rPr>
              <w:rStyle w:val="25"/>
              <w:rFonts w:hint="eastAsia" w:ascii="Times New Roman" w:hAnsi="Times New Roman" w:eastAsia="黑体"/>
            </w:rPr>
            <w:t>十二、建立重点项目库</w:t>
          </w:r>
          <w:r>
            <w:tab/>
          </w:r>
          <w:r>
            <w:fldChar w:fldCharType="begin"/>
          </w:r>
          <w:r>
            <w:instrText xml:space="preserve"> PAGEREF _Toc98755304 \h </w:instrText>
          </w:r>
          <w:r>
            <w:fldChar w:fldCharType="separate"/>
          </w:r>
          <w:r>
            <w:t>45</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"_Toc98755305" </w:instrText>
          </w:r>
          <w:r>
            <w:fldChar w:fldCharType="separate"/>
          </w:r>
          <w:r>
            <w:rPr>
              <w:rStyle w:val="25"/>
              <w:rFonts w:hint="eastAsia" w:ascii="Times New Roman" w:hAnsi="Times New Roman" w:eastAsia="黑体"/>
            </w:rPr>
            <w:t>十三、规划实施保障</w:t>
          </w:r>
          <w:r>
            <w:tab/>
          </w:r>
          <w:r>
            <w:fldChar w:fldCharType="begin"/>
          </w:r>
          <w:r>
            <w:instrText xml:space="preserve"> PAGEREF _Toc98755305 \h </w:instrText>
          </w:r>
          <w:r>
            <w:fldChar w:fldCharType="separate"/>
          </w:r>
          <w:r>
            <w:t>47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"_Toc98755306" </w:instrText>
          </w:r>
          <w:r>
            <w:fldChar w:fldCharType="separate"/>
          </w:r>
          <w:r>
            <w:rPr>
              <w:rStyle w:val="25"/>
              <w:rFonts w:hint="eastAsia" w:eastAsia="楷体"/>
              <w:b/>
              <w:bCs/>
            </w:rPr>
            <w:t>（一）明确责任分工，落实目标任务</w:t>
          </w:r>
          <w:r>
            <w:tab/>
          </w:r>
          <w:r>
            <w:fldChar w:fldCharType="begin"/>
          </w:r>
          <w:r>
            <w:instrText xml:space="preserve"> PAGEREF _Toc98755306 \h </w:instrText>
          </w:r>
          <w:r>
            <w:fldChar w:fldCharType="separate"/>
          </w:r>
          <w:r>
            <w:t>47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"_Toc98755307" </w:instrText>
          </w:r>
          <w:r>
            <w:fldChar w:fldCharType="separate"/>
          </w:r>
          <w:r>
            <w:rPr>
              <w:rStyle w:val="25"/>
              <w:rFonts w:hint="eastAsia" w:eastAsia="楷体"/>
              <w:b/>
              <w:bCs/>
            </w:rPr>
            <w:t>（二）强化资金保障，拓宽投入渠道</w:t>
          </w:r>
          <w:r>
            <w:tab/>
          </w:r>
          <w:r>
            <w:fldChar w:fldCharType="begin"/>
          </w:r>
          <w:r>
            <w:instrText xml:space="preserve"> PAGEREF _Toc98755307 \h </w:instrText>
          </w:r>
          <w:r>
            <w:fldChar w:fldCharType="separate"/>
          </w:r>
          <w:r>
            <w:t>47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"_Toc98755308" </w:instrText>
          </w:r>
          <w:r>
            <w:fldChar w:fldCharType="separate"/>
          </w:r>
          <w:r>
            <w:rPr>
              <w:rStyle w:val="25"/>
              <w:rFonts w:hint="eastAsia" w:eastAsia="楷体"/>
              <w:b/>
              <w:bCs/>
            </w:rPr>
            <w:t>（三）加强法制宣传，动员公众参与</w:t>
          </w:r>
          <w:r>
            <w:tab/>
          </w:r>
          <w:r>
            <w:fldChar w:fldCharType="begin"/>
          </w:r>
          <w:r>
            <w:instrText xml:space="preserve"> PAGEREF _Toc98755308 \h </w:instrText>
          </w:r>
          <w:r>
            <w:fldChar w:fldCharType="separate"/>
          </w:r>
          <w:r>
            <w:t>47</w:t>
          </w:r>
          <w:r>
            <w:fldChar w:fldCharType="end"/>
          </w:r>
          <w:r>
            <w:fldChar w:fldCharType="end"/>
          </w:r>
        </w:p>
        <w:p>
          <w:pPr>
            <w:pStyle w:val="15"/>
            <w:tabs>
              <w:tab w:val="right" w:leader="dot" w:pos="8296"/>
            </w:tabs>
            <w:ind w:left="640"/>
            <w:rPr>
              <w:rFonts w:asciiTheme="minorHAnsi" w:hAnsiTheme="minorHAnsi" w:eastAsiaTheme="minorEastAsia" w:cstheme="minorBidi"/>
            </w:rPr>
          </w:pPr>
          <w:r>
            <w:fldChar w:fldCharType="begin"/>
          </w:r>
          <w:r>
            <w:instrText xml:space="preserve"> HYPERLINK \l "_Toc98755309" </w:instrText>
          </w:r>
          <w:r>
            <w:fldChar w:fldCharType="separate"/>
          </w:r>
          <w:r>
            <w:rPr>
              <w:rStyle w:val="25"/>
              <w:rFonts w:hint="eastAsia" w:eastAsia="楷体"/>
              <w:b/>
              <w:bCs/>
            </w:rPr>
            <w:t>（四）开展评估考核</w:t>
          </w:r>
          <w:r>
            <w:tab/>
          </w:r>
          <w:r>
            <w:fldChar w:fldCharType="begin"/>
          </w:r>
          <w:r>
            <w:instrText xml:space="preserve"> PAGEREF _Toc98755309 \h </w:instrText>
          </w:r>
          <w:r>
            <w:fldChar w:fldCharType="separate"/>
          </w:r>
          <w:r>
            <w:t>48</w:t>
          </w:r>
          <w:r>
            <w:fldChar w:fldCharType="end"/>
          </w:r>
          <w:r>
            <w:fldChar w:fldCharType="end"/>
          </w:r>
        </w:p>
        <w:p>
          <w:pPr>
            <w:pStyle w:val="15"/>
            <w:tabs>
              <w:tab w:val="right" w:leader="dot" w:pos="8306"/>
            </w:tabs>
            <w:spacing w:line="400" w:lineRule="exact"/>
            <w:ind w:left="640"/>
            <w:rPr>
              <w:rFonts w:ascii="Times New Roman" w:hAnsi="Times New Roman"/>
              <w:b/>
              <w:bCs/>
              <w:sz w:val="24"/>
              <w:szCs w:val="24"/>
            </w:rPr>
          </w:pPr>
          <w:r>
            <w:rPr>
              <w:rFonts w:ascii="Times New Roman" w:hAnsi="Times New Roman"/>
              <w:sz w:val="24"/>
              <w:szCs w:val="24"/>
            </w:rPr>
            <w:fldChar w:fldCharType="end"/>
          </w:r>
        </w:p>
      </w:sdtContent>
    </w:sdt>
    <w:p>
      <w:pPr>
        <w:spacing w:line="590" w:lineRule="exact"/>
        <w:ind w:firstLine="640" w:firstLineChars="200"/>
        <w:rPr>
          <w:rFonts w:eastAsia="仿宋"/>
          <w:szCs w:val="32"/>
        </w:rPr>
        <w:sectPr>
          <w:footerReference r:id="rId9" w:type="default"/>
          <w:pgSz w:w="11906" w:h="16838"/>
          <w:pgMar w:top="1440" w:right="1800" w:bottom="1440" w:left="1800" w:header="851" w:footer="992" w:gutter="0"/>
          <w:pgNumType w:start="1"/>
          <w:cols w:space="425" w:num="1"/>
          <w:docGrid w:type="lines" w:linePitch="312" w:charSpace="0"/>
        </w:sectPr>
      </w:pPr>
    </w:p>
    <w:p>
      <w:pPr>
        <w:pStyle w:val="4"/>
        <w:spacing w:before="0" w:after="0" w:line="590" w:lineRule="exact"/>
        <w:rPr>
          <w:rFonts w:ascii="Times New Roman" w:hAnsi="Times New Roman" w:eastAsia="黑体" w:cs="Times New Roman"/>
          <w:b w:val="0"/>
          <w:bCs w:val="0"/>
          <w:color w:val="000000" w:themeColor="text1"/>
        </w:rPr>
      </w:pPr>
      <w:bookmarkStart w:id="0" w:name="_Toc23891"/>
      <w:bookmarkStart w:id="1" w:name="_Toc98755243"/>
      <w:r>
        <w:rPr>
          <w:rFonts w:ascii="Times New Roman" w:hAnsi="Times New Roman" w:eastAsia="黑体" w:cs="Times New Roman"/>
          <w:b w:val="0"/>
          <w:bCs w:val="0"/>
          <w:color w:val="000000" w:themeColor="text1"/>
        </w:rPr>
        <w:t>一、</w:t>
      </w:r>
      <w:bookmarkEnd w:id="0"/>
      <w:r>
        <w:rPr>
          <w:rFonts w:ascii="Times New Roman" w:hAnsi="Times New Roman" w:eastAsia="黑体" w:cs="Times New Roman"/>
          <w:b w:val="0"/>
          <w:bCs w:val="0"/>
          <w:color w:val="000000" w:themeColor="text1"/>
        </w:rPr>
        <w:t>发展基础和</w:t>
      </w:r>
      <w:r>
        <w:rPr>
          <w:rFonts w:hint="eastAsia" w:ascii="Times New Roman" w:hAnsi="Times New Roman" w:eastAsia="黑体" w:cs="Times New Roman"/>
          <w:b w:val="0"/>
          <w:bCs w:val="0"/>
          <w:color w:val="000000" w:themeColor="text1"/>
        </w:rPr>
        <w:t>面临形势</w:t>
      </w:r>
      <w:bookmarkEnd w:id="1"/>
    </w:p>
    <w:p>
      <w:pPr>
        <w:spacing w:line="590" w:lineRule="exact"/>
        <w:ind w:firstLine="643" w:firstLineChars="200"/>
        <w:outlineLvl w:val="1"/>
        <w:rPr>
          <w:rFonts w:eastAsia="楷体"/>
          <w:b/>
          <w:bCs/>
          <w:szCs w:val="32"/>
        </w:rPr>
      </w:pPr>
      <w:bookmarkStart w:id="2" w:name="_Toc98755244"/>
      <w:bookmarkStart w:id="3" w:name="_Toc19322"/>
      <w:r>
        <w:rPr>
          <w:rFonts w:eastAsia="楷体"/>
          <w:b/>
          <w:bCs/>
          <w:szCs w:val="32"/>
        </w:rPr>
        <w:t>（一）“十三五”生态环境保护成绩显著</w:t>
      </w:r>
      <w:bookmarkEnd w:id="2"/>
      <w:bookmarkEnd w:id="3"/>
    </w:p>
    <w:p>
      <w:pPr>
        <w:spacing w:line="590" w:lineRule="exact"/>
        <w:ind w:firstLine="643" w:firstLineChars="200"/>
        <w:jc w:val="left"/>
        <w:rPr>
          <w:rFonts w:eastAsia="仿宋"/>
          <w:szCs w:val="32"/>
        </w:rPr>
      </w:pPr>
      <w:r>
        <w:rPr>
          <w:rFonts w:eastAsia="仿宋"/>
          <w:b/>
          <w:bCs/>
          <w:color w:val="000000" w:themeColor="text1"/>
          <w:szCs w:val="32"/>
        </w:rPr>
        <w:t>生态环境质量总体改善。</w:t>
      </w:r>
      <w:r>
        <w:rPr>
          <w:rFonts w:eastAsia="仿宋"/>
          <w:szCs w:val="32"/>
        </w:rPr>
        <w:t>水环境质量稳中向好。</w:t>
      </w:r>
      <w:r>
        <w:rPr>
          <w:color w:val="000000"/>
          <w:szCs w:val="32"/>
        </w:rPr>
        <w:t>国省控断面水质优良断面比例91.7%，其中省控断面黄家湖从2019年4月起稳定达到三类水质。市级饮用水源龙山港断面水质</w:t>
      </w:r>
      <w:r>
        <w:rPr>
          <w:szCs w:val="32"/>
        </w:rPr>
        <w:t>达标率100%。</w:t>
      </w:r>
      <w:r>
        <w:rPr>
          <w:rFonts w:eastAsia="仿宋"/>
          <w:szCs w:val="32"/>
        </w:rPr>
        <w:t>空气环境质量持续改善。2020年，中心城区空气质量优良天数比例为84.4%，较2015年提升6.7%；PM</w:t>
      </w:r>
      <w:r>
        <w:rPr>
          <w:rFonts w:eastAsia="仿宋"/>
          <w:szCs w:val="32"/>
          <w:vertAlign w:val="subscript"/>
        </w:rPr>
        <w:t>2.5</w:t>
      </w:r>
      <w:r>
        <w:rPr>
          <w:rFonts w:eastAsia="仿宋"/>
          <w:szCs w:val="32"/>
        </w:rPr>
        <w:t>浓度为43μg/m</w:t>
      </w:r>
      <w:r>
        <w:rPr>
          <w:rFonts w:eastAsia="仿宋"/>
          <w:szCs w:val="32"/>
          <w:vertAlign w:val="superscript"/>
        </w:rPr>
        <w:t>3</w:t>
      </w:r>
      <w:r>
        <w:rPr>
          <w:rFonts w:eastAsia="仿宋"/>
          <w:szCs w:val="32"/>
        </w:rPr>
        <w:t>，较2015年下降6.5%。土壤环境质量稳中向好。受污染耕地安全利用和严格管控面积达52198亩，完成省定任务。区域噪声环境质量有所提升。中心城区白天平均等效声级为52.4dB（A），较2015年下降1.2dB（A）。</w:t>
      </w:r>
    </w:p>
    <w:p>
      <w:pPr>
        <w:spacing w:line="590" w:lineRule="exact"/>
        <w:ind w:firstLine="643" w:firstLineChars="200"/>
        <w:rPr>
          <w:rFonts w:eastAsia="仿宋"/>
          <w:szCs w:val="32"/>
        </w:rPr>
      </w:pPr>
      <w:r>
        <w:rPr>
          <w:rFonts w:eastAsia="仿宋"/>
          <w:b/>
          <w:bCs/>
          <w:color w:val="000000" w:themeColor="text1"/>
          <w:szCs w:val="32"/>
        </w:rPr>
        <w:t>主要污染物减排目标全面完成</w:t>
      </w:r>
      <w:r>
        <w:rPr>
          <w:rFonts w:eastAsia="仿宋"/>
          <w:b/>
          <w:bCs/>
          <w:szCs w:val="32"/>
        </w:rPr>
        <w:t>。</w:t>
      </w:r>
      <w:r>
        <w:rPr>
          <w:rFonts w:hint="eastAsia" w:eastAsia="仿宋"/>
          <w:bCs/>
          <w:szCs w:val="32"/>
        </w:rPr>
        <w:t>至</w:t>
      </w:r>
      <w:r>
        <w:rPr>
          <w:rFonts w:eastAsia="仿宋"/>
          <w:szCs w:val="32"/>
        </w:rPr>
        <w:t>2020年，化学需氧量</w:t>
      </w:r>
      <w:r>
        <w:rPr>
          <w:rFonts w:hint="eastAsia" w:eastAsia="仿宋"/>
          <w:szCs w:val="32"/>
        </w:rPr>
        <w:t>排放量</w:t>
      </w:r>
      <w:r>
        <w:rPr>
          <w:rFonts w:eastAsia="仿宋"/>
          <w:szCs w:val="32"/>
        </w:rPr>
        <w:t>为</w:t>
      </w:r>
      <w:r>
        <w:rPr>
          <w:rFonts w:hint="eastAsia" w:eastAsia="仿宋"/>
          <w:szCs w:val="32"/>
        </w:rPr>
        <w:t>6121</w:t>
      </w:r>
      <w:r>
        <w:rPr>
          <w:rFonts w:eastAsia="仿宋"/>
          <w:szCs w:val="32"/>
        </w:rPr>
        <w:t>吨，</w:t>
      </w:r>
      <w:r>
        <w:rPr>
          <w:rFonts w:hint="eastAsia" w:eastAsia="仿宋"/>
          <w:szCs w:val="32"/>
        </w:rPr>
        <w:t>较2015年下降14%，</w:t>
      </w:r>
      <w:r>
        <w:rPr>
          <w:rFonts w:eastAsia="仿宋"/>
          <w:szCs w:val="32"/>
        </w:rPr>
        <w:t>氨氮</w:t>
      </w:r>
      <w:r>
        <w:rPr>
          <w:rFonts w:hint="eastAsia" w:eastAsia="仿宋"/>
          <w:szCs w:val="32"/>
        </w:rPr>
        <w:t>排放量</w:t>
      </w:r>
      <w:r>
        <w:rPr>
          <w:rFonts w:eastAsia="仿宋"/>
          <w:szCs w:val="32"/>
        </w:rPr>
        <w:t>为</w:t>
      </w:r>
      <w:r>
        <w:rPr>
          <w:rFonts w:hint="eastAsia" w:eastAsia="仿宋"/>
          <w:szCs w:val="32"/>
        </w:rPr>
        <w:t>451</w:t>
      </w:r>
      <w:r>
        <w:rPr>
          <w:rFonts w:eastAsia="仿宋"/>
          <w:szCs w:val="32"/>
        </w:rPr>
        <w:t>吨，</w:t>
      </w:r>
      <w:r>
        <w:rPr>
          <w:rFonts w:hint="eastAsia" w:eastAsia="仿宋"/>
          <w:szCs w:val="32"/>
        </w:rPr>
        <w:t>较2015年下降48%，二氧化硫排放量为1286吨，较2015年下降46%，</w:t>
      </w:r>
      <w:r>
        <w:rPr>
          <w:rFonts w:eastAsia="仿宋"/>
          <w:szCs w:val="32"/>
        </w:rPr>
        <w:t>氮氧化物</w:t>
      </w:r>
      <w:r>
        <w:rPr>
          <w:rFonts w:hint="eastAsia" w:eastAsia="仿宋"/>
          <w:szCs w:val="32"/>
        </w:rPr>
        <w:t>排放</w:t>
      </w:r>
      <w:r>
        <w:rPr>
          <w:rFonts w:eastAsia="仿宋"/>
          <w:szCs w:val="32"/>
        </w:rPr>
        <w:t>量为</w:t>
      </w:r>
      <w:r>
        <w:rPr>
          <w:rFonts w:hint="eastAsia" w:eastAsia="仿宋"/>
          <w:szCs w:val="32"/>
        </w:rPr>
        <w:t>758</w:t>
      </w:r>
      <w:r>
        <w:rPr>
          <w:rFonts w:eastAsia="仿宋"/>
          <w:szCs w:val="32"/>
        </w:rPr>
        <w:t>吨，</w:t>
      </w:r>
      <w:r>
        <w:rPr>
          <w:rFonts w:hint="eastAsia" w:eastAsia="仿宋"/>
          <w:szCs w:val="32"/>
        </w:rPr>
        <w:t>较2015年下降21%，化学需氧量、氨氮、二氧化硫、氮氧化物减排量超额完成“十三五”总量控制指标。</w:t>
      </w:r>
    </w:p>
    <w:p>
      <w:pPr>
        <w:pStyle w:val="27"/>
        <w:autoSpaceDE/>
        <w:autoSpaceDN/>
        <w:spacing w:line="590" w:lineRule="exact"/>
        <w:ind w:firstLine="643" w:firstLineChars="200"/>
        <w:jc w:val="both"/>
        <w:rPr>
          <w:rFonts w:ascii="Times New Roman" w:hAnsi="Times New Roman" w:eastAsia="仿宋_GB2312"/>
          <w:sz w:val="32"/>
          <w:szCs w:val="32"/>
        </w:rPr>
      </w:pPr>
      <w:r>
        <w:rPr>
          <w:rFonts w:ascii="Times New Roman" w:hAnsi="Times New Roman" w:eastAsia="仿宋"/>
          <w:b/>
          <w:bCs/>
          <w:color w:val="000000" w:themeColor="text1"/>
          <w:sz w:val="32"/>
          <w:szCs w:val="32"/>
        </w:rPr>
        <w:t>生态环境问题整改成效显著。</w:t>
      </w:r>
      <w:r>
        <w:rPr>
          <w:rFonts w:ascii="Times New Roman" w:hAnsi="Times New Roman" w:eastAsia="仿宋"/>
          <w:sz w:val="32"/>
          <w:szCs w:val="32"/>
        </w:rPr>
        <w:t>以中央、省级生态环保督察、长江经济带警示片、全国人大“一法两条例”执法检查为</w:t>
      </w:r>
      <w:r>
        <w:rPr>
          <w:rFonts w:ascii="Times New Roman" w:hAnsi="Times New Roman" w:eastAsia="仿宋_GB2312"/>
          <w:sz w:val="32"/>
          <w:szCs w:val="32"/>
        </w:rPr>
        <w:t>契机，</w:t>
      </w:r>
      <w:r>
        <w:rPr>
          <w:rFonts w:ascii="Times New Roman" w:hAnsi="Times New Roman" w:eastAsia="仿宋"/>
          <w:color w:val="auto"/>
          <w:sz w:val="32"/>
          <w:szCs w:val="32"/>
        </w:rPr>
        <w:t>扎实推进问题整改，着力</w:t>
      </w:r>
      <w:r>
        <w:rPr>
          <w:rFonts w:ascii="Times New Roman" w:hAnsi="Times New Roman" w:eastAsia="仿宋"/>
          <w:color w:val="auto"/>
          <w:sz w:val="32"/>
        </w:rPr>
        <w:t>解决一批顽症痼疾</w:t>
      </w:r>
      <w:r>
        <w:rPr>
          <w:rFonts w:ascii="Times New Roman" w:hAnsi="Times New Roman" w:eastAsia="仿宋_GB2312"/>
          <w:sz w:val="32"/>
          <w:szCs w:val="32"/>
        </w:rPr>
        <w:t>。对于中央、省级各项督查反馈的10张清单共计47个交办问题、99件信访件，严格落实每个问题和每件信访件“四包一”措施，扎实推进问题整改，着力解决了一批顽症痼疾。截至2020年12月底，47个交办问题中已完成整改34个、按序时进度推进13个，99件信访件已全部整改到位。3.02万亩欧美黑杨全部退出；资江流域益阳段锑浓度稳定达标。</w:t>
      </w:r>
    </w:p>
    <w:p>
      <w:pPr>
        <w:pStyle w:val="27"/>
        <w:autoSpaceDE/>
        <w:autoSpaceDN/>
        <w:spacing w:line="590" w:lineRule="exact"/>
        <w:ind w:firstLine="643" w:firstLineChars="200"/>
        <w:jc w:val="both"/>
        <w:rPr>
          <w:rFonts w:ascii="Times New Roman" w:hAnsi="Times New Roman" w:eastAsia="仿宋_GB2312"/>
          <w:sz w:val="32"/>
          <w:szCs w:val="32"/>
        </w:rPr>
      </w:pPr>
      <w:r>
        <w:rPr>
          <w:rFonts w:ascii="Times New Roman" w:hAnsi="Times New Roman" w:eastAsia="仿宋"/>
          <w:b/>
          <w:bCs/>
          <w:color w:val="000000" w:themeColor="text1"/>
          <w:kern w:val="2"/>
          <w:sz w:val="32"/>
          <w:szCs w:val="32"/>
        </w:rPr>
        <w:t>噪声环境治理稳步推进。</w:t>
      </w:r>
      <w:r>
        <w:rPr>
          <w:rFonts w:ascii="Times New Roman" w:hAnsi="Times New Roman" w:eastAsia="仿宋"/>
          <w:color w:val="auto"/>
          <w:kern w:val="2"/>
          <w:sz w:val="32"/>
          <w:szCs w:val="32"/>
        </w:rPr>
        <w:t>加强交通、建筑施工、社会生活和工业噪声污染防治，积极回应居民噪声污染诉求，全年共办结群众投诉82件。完成噪声示范控制区划定，企事业单位、建筑工地项目、社会生活噪声污染治理有序有力推进。</w:t>
      </w:r>
    </w:p>
    <w:p>
      <w:pPr>
        <w:spacing w:line="590" w:lineRule="exact"/>
        <w:ind w:firstLine="643" w:firstLineChars="200"/>
        <w:rPr>
          <w:rFonts w:eastAsia="仿宋"/>
          <w:b/>
          <w:bCs/>
          <w:color w:val="000000" w:themeColor="text1"/>
          <w:szCs w:val="32"/>
        </w:rPr>
      </w:pPr>
      <w:r>
        <w:rPr>
          <w:rFonts w:eastAsia="仿宋"/>
          <w:b/>
          <w:bCs/>
          <w:color w:val="000000" w:themeColor="text1"/>
          <w:szCs w:val="32"/>
        </w:rPr>
        <w:t>蓝天保卫战强力推进。</w:t>
      </w:r>
      <w:r>
        <w:rPr>
          <w:rFonts w:eastAsia="仿宋"/>
          <w:szCs w:val="32"/>
        </w:rPr>
        <w:t>强力推进蓝天保卫战“夏季攻势”和“百日攻坚”行动，深入开展工地扬尘治理、工业企业排放管控、餐饮油烟和渣土污染治理及垃圾禁烧、砂石企业扬尘治理、机动车尾气治理、秸秆禁烧综合利用等六大专项行动，取得阶段性成效。摸清9大类261家重点污染源底数，严把开工条件审查关口，加强日常监管巡查，在建工地严格落实“六个100%”。完成713台非道路移动机械“编码登记”。全力推进秸秆禁烧工作，无省通报卫星火点数，为全市最低。加强空气监测基础设施建设，完成13个环境空气质量网格化监测微站、1座大气颗粒物组分站建设。强化重污染天气应对，启动重污染天气预警7次，建立健全工业企业减排调控机制，对23家重点涉气企业采取常规减排、错峰生产、预警减排等措施，对城区主干道实行柴油货车限行。</w:t>
      </w:r>
    </w:p>
    <w:p>
      <w:pPr>
        <w:pStyle w:val="28"/>
        <w:spacing w:line="590" w:lineRule="exact"/>
        <w:ind w:firstLine="643"/>
        <w:rPr>
          <w:sz w:val="32"/>
          <w:szCs w:val="32"/>
        </w:rPr>
      </w:pPr>
      <w:r>
        <w:rPr>
          <w:b/>
          <w:bCs/>
          <w:color w:val="000000" w:themeColor="text1"/>
          <w:sz w:val="32"/>
          <w:szCs w:val="32"/>
        </w:rPr>
        <w:t>碧水保卫战深入开展。</w:t>
      </w:r>
      <w:r>
        <w:rPr>
          <w:sz w:val="32"/>
          <w:szCs w:val="32"/>
        </w:rPr>
        <w:t>资江干流资阳区段及资阳范围内入洞庭湖排污口排查建档工作已全面完成，整治重点入湖、入河排污口1个。划定13处乡镇“千吨万人”饮用水源地保护区，9处农村“千人以上”饮用水源地保护区，完成“千吨万人”水源地问题整治11个。扎实推进农业面源污染治理，全区规模畜禽养殖粪污设施装备配套率达100%，畜禽粪污资源化利用率达100%。统筹推进“两治”工作，44个乡镇污水处理厂建设全面完成，城镇生活垃圾、生活污水处理率分别达到100%、96.5%。强化黑臭水体治理，完成</w:t>
      </w:r>
      <w:r>
        <w:rPr>
          <w:rFonts w:hint="eastAsia"/>
          <w:sz w:val="32"/>
          <w:szCs w:val="32"/>
        </w:rPr>
        <w:t>6</w:t>
      </w:r>
      <w:r>
        <w:rPr>
          <w:sz w:val="32"/>
          <w:szCs w:val="32"/>
        </w:rPr>
        <w:t>个黑臭水体治理任务。整治工业园区水环境问题2个。黄家湖稳定达到</w:t>
      </w:r>
      <w:r>
        <w:rPr>
          <w:rFonts w:hint="eastAsia" w:ascii="宋体" w:hAnsi="宋体" w:eastAsia="宋体" w:cs="宋体"/>
          <w:sz w:val="32"/>
          <w:szCs w:val="32"/>
        </w:rPr>
        <w:t>Ⅲ</w:t>
      </w:r>
      <w:r>
        <w:rPr>
          <w:sz w:val="32"/>
          <w:szCs w:val="32"/>
        </w:rPr>
        <w:t>类水质，达到水环境功能区标准要求。</w:t>
      </w:r>
    </w:p>
    <w:p>
      <w:pPr>
        <w:pStyle w:val="28"/>
        <w:spacing w:line="590" w:lineRule="exact"/>
        <w:ind w:firstLine="643"/>
        <w:rPr>
          <w:kern w:val="0"/>
          <w:sz w:val="32"/>
          <w:szCs w:val="32"/>
        </w:rPr>
      </w:pPr>
      <w:r>
        <w:rPr>
          <w:b/>
          <w:bCs/>
          <w:color w:val="000000" w:themeColor="text1"/>
          <w:sz w:val="32"/>
          <w:szCs w:val="32"/>
        </w:rPr>
        <w:t>净土保卫战扎实推进。</w:t>
      </w:r>
      <w:r>
        <w:rPr>
          <w:kern w:val="0"/>
          <w:sz w:val="32"/>
          <w:szCs w:val="32"/>
        </w:rPr>
        <w:t>做好受污染耕地安全利用和严格管控工作，实施“六改”等农艺技术措施的耕地51395亩已安全利用；采取种植结构调整、休耕等措施的耕地803亩已严格管控，均超额完成省定任务。完成第五轮涉镉排查，生力、奥士康两家企业全部完成排查整治。探索开展地下水污染防治工作，完成24个行政村生活污水治理。落实资江流域益阳段锑污染整治三年行动实施方案，对在产企业开展全方位和持续性整治。开展固体废物大排查、大整治，对240家涉危废企业进行了集中调查清查，确定177家非危废产生单位，对45家涉危废企业录入省危废监管平台，实行规范化管理。</w:t>
      </w:r>
    </w:p>
    <w:p>
      <w:pPr>
        <w:pStyle w:val="28"/>
        <w:spacing w:line="590" w:lineRule="exact"/>
        <w:ind w:firstLine="643"/>
        <w:rPr>
          <w:sz w:val="32"/>
          <w:szCs w:val="32"/>
        </w:rPr>
      </w:pPr>
      <w:r>
        <w:rPr>
          <w:rFonts w:eastAsia="仿宋_GB2312"/>
          <w:b/>
          <w:bCs/>
          <w:color w:val="000000"/>
          <w:sz w:val="32"/>
          <w:szCs w:val="32"/>
        </w:rPr>
        <w:t>生态保护修复稳步实施</w:t>
      </w:r>
      <w:r>
        <w:rPr>
          <w:b/>
          <w:bCs/>
          <w:spacing w:val="6"/>
          <w:kern w:val="0"/>
          <w:sz w:val="32"/>
          <w:szCs w:val="32"/>
        </w:rPr>
        <w:t>。</w:t>
      </w:r>
      <w:r>
        <w:rPr>
          <w:spacing w:val="6"/>
          <w:kern w:val="0"/>
          <w:sz w:val="32"/>
        </w:rPr>
        <w:t>积极组织开展“绿盾行动”</w:t>
      </w:r>
      <w:r>
        <w:rPr>
          <w:spacing w:val="2"/>
          <w:kern w:val="0"/>
          <w:sz w:val="32"/>
        </w:rPr>
        <w:t>反馈问题整改，全区</w:t>
      </w:r>
      <w:r>
        <w:rPr>
          <w:spacing w:val="2"/>
          <w:sz w:val="32"/>
          <w:szCs w:val="32"/>
        </w:rPr>
        <w:t>自然保护地224个问题全部核实和整改到位。</w:t>
      </w:r>
      <w:r>
        <w:rPr>
          <w:spacing w:val="2"/>
          <w:kern w:val="0"/>
          <w:sz w:val="32"/>
        </w:rPr>
        <w:t>深入推进生态保护红线评估和勘界定标。着力</w:t>
      </w:r>
      <w:r>
        <w:rPr>
          <w:spacing w:val="2"/>
          <w:sz w:val="32"/>
          <w:szCs w:val="32"/>
        </w:rPr>
        <w:t>推进湿地修复治理，逐步实施杨树迹地清理、被侵占岸线及洲滩的生态修复，累计完成湿地修复3.36万亩。建立健全生态环境保护经济政策，与桃江县签订资江流域生态补偿协议。</w:t>
      </w:r>
    </w:p>
    <w:p>
      <w:pPr>
        <w:pStyle w:val="27"/>
        <w:autoSpaceDE/>
        <w:autoSpaceDN/>
        <w:spacing w:line="590" w:lineRule="exact"/>
        <w:ind w:firstLine="643" w:firstLineChars="200"/>
        <w:jc w:val="both"/>
        <w:rPr>
          <w:rFonts w:ascii="Times New Roman" w:hAnsi="Times New Roman" w:eastAsia="仿宋"/>
          <w:color w:val="auto"/>
          <w:kern w:val="2"/>
          <w:sz w:val="32"/>
          <w:szCs w:val="28"/>
        </w:rPr>
      </w:pPr>
      <w:r>
        <w:rPr>
          <w:rFonts w:ascii="Times New Roman" w:hAnsi="Times New Roman" w:eastAsia="仿宋"/>
          <w:b/>
          <w:bCs/>
          <w:color w:val="000000" w:themeColor="text1"/>
          <w:kern w:val="2"/>
          <w:sz w:val="32"/>
          <w:szCs w:val="32"/>
        </w:rPr>
        <w:t>服务经济高质量发展支撑有力。</w:t>
      </w:r>
      <w:r>
        <w:rPr>
          <w:rFonts w:ascii="Times New Roman" w:hAnsi="Times New Roman" w:eastAsia="仿宋"/>
          <w:color w:val="auto"/>
          <w:spacing w:val="-2"/>
          <w:sz w:val="32"/>
          <w:szCs w:val="32"/>
        </w:rPr>
        <w:t>积极落实生态环境保护《优化营商环境六不准》，编制长江经济带战略环评“三线一单”，</w:t>
      </w:r>
      <w:r>
        <w:rPr>
          <w:rFonts w:ascii="Times New Roman" w:hAnsi="Times New Roman" w:eastAsia="仿宋"/>
          <w:color w:val="auto"/>
          <w:spacing w:val="-2"/>
          <w:kern w:val="2"/>
          <w:sz w:val="32"/>
          <w:szCs w:val="28"/>
        </w:rPr>
        <w:t>形成2个优先保护单元、2个重点管控单元和1个一般管控单元。</w:t>
      </w:r>
      <w:r>
        <w:rPr>
          <w:rFonts w:ascii="Times New Roman" w:hAnsi="Times New Roman" w:eastAsia="仿宋"/>
          <w:color w:val="auto"/>
          <w:kern w:val="2"/>
          <w:sz w:val="32"/>
          <w:szCs w:val="28"/>
        </w:rPr>
        <w:t>严把</w:t>
      </w:r>
      <w:r>
        <w:rPr>
          <w:rFonts w:ascii="Times New Roman" w:hAnsi="Times New Roman" w:eastAsia="仿宋"/>
          <w:color w:val="auto"/>
          <w:sz w:val="32"/>
          <w:szCs w:val="32"/>
        </w:rPr>
        <w:t>环评审批关口，对不符合产业和环保政策的项目坚持“一票否决”。做好排污许可发证登记工作，</w:t>
      </w:r>
      <w:r>
        <w:rPr>
          <w:rFonts w:ascii="Times New Roman" w:hAnsi="Times New Roman" w:eastAsia="仿宋"/>
          <w:color w:val="auto"/>
          <w:sz w:val="32"/>
        </w:rPr>
        <w:t>124个行业发证登记任务已全部完成，实现排污许可“全覆盖”。</w:t>
      </w:r>
      <w:r>
        <w:rPr>
          <w:rFonts w:ascii="Times New Roman" w:hAnsi="Times New Roman" w:eastAsia="仿宋"/>
          <w:color w:val="auto"/>
          <w:kern w:val="2"/>
          <w:sz w:val="32"/>
          <w:szCs w:val="28"/>
        </w:rPr>
        <w:t>完成第二次全国污染源普查，采集普查信息880个，污染源档案信息全面建立。</w:t>
      </w:r>
    </w:p>
    <w:p>
      <w:pPr>
        <w:pStyle w:val="28"/>
        <w:spacing w:line="590" w:lineRule="exact"/>
        <w:ind w:firstLine="651"/>
        <w:rPr>
          <w:spacing w:val="2"/>
          <w:sz w:val="32"/>
        </w:rPr>
      </w:pPr>
      <w:r>
        <w:rPr>
          <w:b/>
          <w:bCs/>
          <w:spacing w:val="2"/>
          <w:sz w:val="32"/>
        </w:rPr>
        <w:t>依法依规严格监管。</w:t>
      </w:r>
      <w:r>
        <w:rPr>
          <w:spacing w:val="2"/>
          <w:sz w:val="32"/>
        </w:rPr>
        <w:t>深入开展普法宣传活动，深化“两法衔接”，严格落实“双随机、一公开”执法要求。严密实施排查、交办、核实、约谈、执法“五步工作法”，严格依法查处环境违法行为，2020年共办理行政处罚案件5件，拟罚款35万元，限产、停产6件，行政移送案件1件。妥善处理群众投诉，全年共办理群众投诉件193件，同比(275件)下降30%，人民群众对生态环境保护工作满意度逐步提升。</w:t>
      </w:r>
    </w:p>
    <w:p>
      <w:pPr>
        <w:spacing w:line="520" w:lineRule="exact"/>
        <w:jc w:val="center"/>
        <w:rPr>
          <w:rFonts w:eastAsia="黑体"/>
          <w:color w:val="000000"/>
          <w:sz w:val="24"/>
          <w:szCs w:val="24"/>
        </w:rPr>
      </w:pPr>
      <w:r>
        <w:rPr>
          <w:rFonts w:eastAsia="黑体"/>
          <w:color w:val="000000"/>
          <w:sz w:val="24"/>
          <w:szCs w:val="24"/>
        </w:rPr>
        <w:t>表1“十三五”规划主要指标完成情况</w:t>
      </w:r>
    </w:p>
    <w:tbl>
      <w:tblPr>
        <w:tblStyle w:val="20"/>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410"/>
        <w:gridCol w:w="2410"/>
        <w:gridCol w:w="170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3" w:type="dxa"/>
            <w:vAlign w:val="center"/>
          </w:tcPr>
          <w:p>
            <w:pPr>
              <w:widowControl/>
              <w:adjustRightInd w:val="0"/>
              <w:snapToGrid w:val="0"/>
              <w:jc w:val="center"/>
              <w:rPr>
                <w:rFonts w:eastAsia="黑体"/>
                <w:bCs/>
                <w:kern w:val="0"/>
                <w:sz w:val="24"/>
                <w:szCs w:val="22"/>
              </w:rPr>
            </w:pPr>
            <w:r>
              <w:rPr>
                <w:rFonts w:eastAsia="黑体"/>
                <w:bCs/>
                <w:kern w:val="0"/>
                <w:sz w:val="24"/>
                <w:szCs w:val="22"/>
              </w:rPr>
              <w:t>序号</w:t>
            </w:r>
          </w:p>
        </w:tc>
        <w:tc>
          <w:tcPr>
            <w:tcW w:w="2410" w:type="dxa"/>
            <w:vAlign w:val="center"/>
          </w:tcPr>
          <w:p>
            <w:pPr>
              <w:widowControl/>
              <w:adjustRightInd w:val="0"/>
              <w:snapToGrid w:val="0"/>
              <w:jc w:val="center"/>
              <w:rPr>
                <w:rFonts w:eastAsia="黑体"/>
                <w:bCs/>
                <w:kern w:val="0"/>
                <w:sz w:val="24"/>
                <w:szCs w:val="22"/>
              </w:rPr>
            </w:pPr>
            <w:r>
              <w:rPr>
                <w:rFonts w:eastAsia="黑体"/>
                <w:bCs/>
                <w:kern w:val="0"/>
                <w:sz w:val="24"/>
                <w:szCs w:val="22"/>
              </w:rPr>
              <w:t>指标名称</w:t>
            </w:r>
          </w:p>
        </w:tc>
        <w:tc>
          <w:tcPr>
            <w:tcW w:w="2410" w:type="dxa"/>
            <w:vAlign w:val="center"/>
          </w:tcPr>
          <w:p>
            <w:pPr>
              <w:widowControl/>
              <w:adjustRightInd w:val="0"/>
              <w:snapToGrid w:val="0"/>
              <w:jc w:val="center"/>
              <w:rPr>
                <w:rFonts w:eastAsia="黑体"/>
                <w:sz w:val="24"/>
                <w:szCs w:val="24"/>
              </w:rPr>
            </w:pPr>
            <w:r>
              <w:rPr>
                <w:rFonts w:eastAsia="黑体"/>
                <w:bCs/>
                <w:kern w:val="0"/>
                <w:sz w:val="24"/>
              </w:rPr>
              <w:t>“十三五”目标值</w:t>
            </w:r>
          </w:p>
        </w:tc>
        <w:tc>
          <w:tcPr>
            <w:tcW w:w="1701" w:type="dxa"/>
            <w:vAlign w:val="center"/>
          </w:tcPr>
          <w:p>
            <w:pPr>
              <w:widowControl/>
              <w:adjustRightInd w:val="0"/>
              <w:snapToGrid w:val="0"/>
              <w:jc w:val="center"/>
              <w:rPr>
                <w:rFonts w:eastAsia="黑体"/>
                <w:bCs/>
                <w:kern w:val="0"/>
                <w:sz w:val="24"/>
                <w:szCs w:val="22"/>
              </w:rPr>
            </w:pPr>
            <w:r>
              <w:rPr>
                <w:rFonts w:eastAsia="黑体"/>
                <w:bCs/>
                <w:kern w:val="0"/>
                <w:sz w:val="24"/>
                <w:szCs w:val="22"/>
              </w:rPr>
              <w:t>2020年完成值</w:t>
            </w:r>
          </w:p>
        </w:tc>
        <w:tc>
          <w:tcPr>
            <w:tcW w:w="1189" w:type="dxa"/>
            <w:vAlign w:val="center"/>
          </w:tcPr>
          <w:p>
            <w:pPr>
              <w:widowControl/>
              <w:adjustRightInd w:val="0"/>
              <w:snapToGrid w:val="0"/>
              <w:jc w:val="center"/>
              <w:rPr>
                <w:rFonts w:eastAsia="黑体"/>
                <w:bCs/>
                <w:kern w:val="0"/>
                <w:sz w:val="24"/>
                <w:szCs w:val="22"/>
              </w:rPr>
            </w:pPr>
            <w:r>
              <w:rPr>
                <w:rFonts w:eastAsia="黑体"/>
                <w:bCs/>
                <w:kern w:val="0"/>
                <w:sz w:val="24"/>
                <w:szCs w:val="2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化学需氧量排放总量（万吨）</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6399吨</w:t>
            </w:r>
          </w:p>
        </w:tc>
        <w:tc>
          <w:tcPr>
            <w:tcW w:w="1701" w:type="dxa"/>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6121</w:t>
            </w:r>
            <w:r>
              <w:rPr>
                <w:rFonts w:eastAsia="仿宋"/>
                <w:bCs/>
                <w:kern w:val="0"/>
                <w:sz w:val="24"/>
                <w:szCs w:val="22"/>
              </w:rPr>
              <w:t>吨</w:t>
            </w:r>
          </w:p>
        </w:tc>
        <w:tc>
          <w:tcPr>
            <w:tcW w:w="1189"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2</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氨氮排放总量（万吨）</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779吨</w:t>
            </w:r>
          </w:p>
        </w:tc>
        <w:tc>
          <w:tcPr>
            <w:tcW w:w="1701" w:type="dxa"/>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451</w:t>
            </w:r>
            <w:r>
              <w:rPr>
                <w:rFonts w:eastAsia="仿宋"/>
                <w:bCs/>
                <w:kern w:val="0"/>
                <w:sz w:val="24"/>
                <w:szCs w:val="22"/>
              </w:rPr>
              <w:t>吨</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3</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二氧化硫排放总量（万吨）</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1881吨</w:t>
            </w:r>
          </w:p>
        </w:tc>
        <w:tc>
          <w:tcPr>
            <w:tcW w:w="1701" w:type="dxa"/>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1286</w:t>
            </w:r>
            <w:r>
              <w:rPr>
                <w:rFonts w:eastAsia="仿宋"/>
                <w:bCs/>
                <w:kern w:val="0"/>
                <w:sz w:val="24"/>
                <w:szCs w:val="22"/>
              </w:rPr>
              <w:t>吨</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4</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氮氧化物排放总量（万吨）</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816吨</w:t>
            </w:r>
          </w:p>
        </w:tc>
        <w:tc>
          <w:tcPr>
            <w:tcW w:w="1701" w:type="dxa"/>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758</w:t>
            </w:r>
            <w:r>
              <w:rPr>
                <w:rFonts w:eastAsia="仿宋"/>
                <w:bCs/>
                <w:kern w:val="0"/>
                <w:sz w:val="24"/>
                <w:szCs w:val="22"/>
              </w:rPr>
              <w:t>吨</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5</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资江万家嘴监测断面水质</w:t>
            </w:r>
          </w:p>
        </w:tc>
        <w:tc>
          <w:tcPr>
            <w:tcW w:w="2410" w:type="dxa"/>
            <w:vAlign w:val="center"/>
          </w:tcPr>
          <w:p>
            <w:pPr>
              <w:widowControl/>
              <w:adjustRightInd w:val="0"/>
              <w:snapToGrid w:val="0"/>
              <w:spacing w:line="360" w:lineRule="exact"/>
              <w:jc w:val="center"/>
              <w:rPr>
                <w:rFonts w:eastAsia="仿宋"/>
                <w:bCs/>
                <w:kern w:val="0"/>
                <w:sz w:val="24"/>
                <w:szCs w:val="22"/>
              </w:rPr>
            </w:pPr>
            <w:r>
              <w:rPr>
                <w:rFonts w:hint="eastAsia" w:ascii="宋体" w:hAnsi="宋体" w:eastAsia="宋体" w:cs="宋体"/>
                <w:bCs/>
                <w:kern w:val="0"/>
                <w:sz w:val="24"/>
                <w:szCs w:val="22"/>
              </w:rPr>
              <w:t>Ⅲ</w:t>
            </w:r>
            <w:r>
              <w:rPr>
                <w:rFonts w:eastAsia="仿宋"/>
                <w:bCs/>
                <w:kern w:val="0"/>
                <w:sz w:val="24"/>
                <w:szCs w:val="22"/>
              </w:rPr>
              <w:t>类</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fldChar w:fldCharType="begin"/>
            </w:r>
            <w:r>
              <w:rPr>
                <w:rFonts w:eastAsia="仿宋"/>
                <w:bCs/>
                <w:kern w:val="0"/>
                <w:sz w:val="24"/>
                <w:szCs w:val="22"/>
              </w:rPr>
              <w:instrText xml:space="preserve"> = 2 \* ROMAN </w:instrText>
            </w:r>
            <w:r>
              <w:rPr>
                <w:rFonts w:eastAsia="仿宋"/>
                <w:bCs/>
                <w:kern w:val="0"/>
                <w:sz w:val="24"/>
                <w:szCs w:val="22"/>
              </w:rPr>
              <w:fldChar w:fldCharType="separate"/>
            </w:r>
            <w:r>
              <w:rPr>
                <w:rFonts w:eastAsia="仿宋"/>
                <w:bCs/>
                <w:kern w:val="0"/>
                <w:sz w:val="24"/>
                <w:szCs w:val="22"/>
              </w:rPr>
              <w:t>II</w:t>
            </w:r>
            <w:r>
              <w:rPr>
                <w:rFonts w:eastAsia="仿宋"/>
                <w:bCs/>
                <w:kern w:val="0"/>
                <w:sz w:val="24"/>
                <w:szCs w:val="22"/>
              </w:rPr>
              <w:fldChar w:fldCharType="end"/>
            </w:r>
            <w:r>
              <w:rPr>
                <w:rFonts w:eastAsia="仿宋"/>
                <w:bCs/>
                <w:kern w:val="0"/>
                <w:sz w:val="24"/>
                <w:szCs w:val="22"/>
              </w:rPr>
              <w:t>类</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6</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资江龙山港监测断面水质</w:t>
            </w:r>
          </w:p>
        </w:tc>
        <w:tc>
          <w:tcPr>
            <w:tcW w:w="2410" w:type="dxa"/>
            <w:vAlign w:val="center"/>
          </w:tcPr>
          <w:p>
            <w:pPr>
              <w:widowControl/>
              <w:adjustRightInd w:val="0"/>
              <w:snapToGrid w:val="0"/>
              <w:spacing w:line="360" w:lineRule="exact"/>
              <w:jc w:val="center"/>
              <w:rPr>
                <w:rFonts w:eastAsia="仿宋"/>
                <w:bCs/>
                <w:kern w:val="0"/>
                <w:sz w:val="24"/>
                <w:szCs w:val="22"/>
              </w:rPr>
            </w:pPr>
            <w:r>
              <w:rPr>
                <w:rFonts w:hint="eastAsia" w:ascii="宋体" w:hAnsi="宋体" w:eastAsia="宋体" w:cs="宋体"/>
                <w:bCs/>
                <w:kern w:val="0"/>
                <w:sz w:val="24"/>
                <w:szCs w:val="22"/>
              </w:rPr>
              <w:t>Ⅲ</w:t>
            </w:r>
            <w:r>
              <w:rPr>
                <w:rFonts w:eastAsia="仿宋"/>
                <w:bCs/>
                <w:kern w:val="0"/>
                <w:sz w:val="24"/>
                <w:szCs w:val="22"/>
              </w:rPr>
              <w:t>类</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fldChar w:fldCharType="begin"/>
            </w:r>
            <w:r>
              <w:rPr>
                <w:rFonts w:eastAsia="仿宋"/>
                <w:bCs/>
                <w:kern w:val="0"/>
                <w:sz w:val="24"/>
                <w:szCs w:val="22"/>
              </w:rPr>
              <w:instrText xml:space="preserve"> = 2 \* ROMAN </w:instrText>
            </w:r>
            <w:r>
              <w:rPr>
                <w:rFonts w:eastAsia="仿宋"/>
                <w:bCs/>
                <w:kern w:val="0"/>
                <w:sz w:val="24"/>
                <w:szCs w:val="22"/>
              </w:rPr>
              <w:fldChar w:fldCharType="separate"/>
            </w:r>
            <w:r>
              <w:rPr>
                <w:rFonts w:eastAsia="仿宋"/>
                <w:bCs/>
                <w:kern w:val="0"/>
                <w:sz w:val="24"/>
                <w:szCs w:val="22"/>
              </w:rPr>
              <w:t>II</w:t>
            </w:r>
            <w:r>
              <w:rPr>
                <w:rFonts w:eastAsia="仿宋"/>
                <w:bCs/>
                <w:kern w:val="0"/>
                <w:sz w:val="24"/>
                <w:szCs w:val="22"/>
              </w:rPr>
              <w:fldChar w:fldCharType="end"/>
            </w:r>
            <w:r>
              <w:rPr>
                <w:rFonts w:eastAsia="仿宋"/>
                <w:bCs/>
                <w:kern w:val="0"/>
                <w:sz w:val="24"/>
                <w:szCs w:val="22"/>
              </w:rPr>
              <w:t>类</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7</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城市环境空气质量评价达标天数比例</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80%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84.2%</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8</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城区区域环境噪声与道路交通噪声达标率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9</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生活污水处理厂</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全面稳定达标排放</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完成44个</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城镇生活污水集中处理率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9</w:t>
            </w:r>
            <w:r>
              <w:rPr>
                <w:rFonts w:hint="eastAsia" w:eastAsia="仿宋"/>
                <w:bCs/>
                <w:kern w:val="0"/>
                <w:sz w:val="24"/>
                <w:szCs w:val="22"/>
              </w:rPr>
              <w:t>6.5</w:t>
            </w:r>
            <w:r>
              <w:rPr>
                <w:rFonts w:eastAsia="仿宋"/>
                <w:bCs/>
                <w:kern w:val="0"/>
                <w:sz w:val="24"/>
                <w:szCs w:val="22"/>
              </w:rPr>
              <w:t>%</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11</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城镇生活垃圾无害化处理率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12</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生态环境监测网络</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全方位、全覆盖</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13个微站、1个分站</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13</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固定污染源排污许可</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基本实现</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全覆盖</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14</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危险废物安全处置率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15</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辐射安全许可证持证率</w:t>
            </w:r>
          </w:p>
        </w:tc>
        <w:tc>
          <w:tcPr>
            <w:tcW w:w="2410"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701"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100%</w:t>
            </w:r>
          </w:p>
        </w:tc>
        <w:tc>
          <w:tcPr>
            <w:tcW w:w="1189" w:type="dxa"/>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完成</w:t>
            </w:r>
          </w:p>
        </w:tc>
      </w:tr>
    </w:tbl>
    <w:p>
      <w:pPr>
        <w:spacing w:line="590" w:lineRule="exact"/>
        <w:ind w:firstLine="643" w:firstLineChars="200"/>
        <w:outlineLvl w:val="1"/>
        <w:rPr>
          <w:rFonts w:eastAsia="楷体"/>
          <w:b/>
          <w:bCs/>
          <w:szCs w:val="32"/>
        </w:rPr>
      </w:pPr>
      <w:bookmarkStart w:id="4" w:name="_Toc15653"/>
      <w:bookmarkStart w:id="5" w:name="_Toc98755245"/>
      <w:r>
        <w:rPr>
          <w:rFonts w:eastAsia="楷体"/>
          <w:b/>
          <w:bCs/>
          <w:szCs w:val="32"/>
        </w:rPr>
        <w:t>（二）</w:t>
      </w:r>
      <w:bookmarkEnd w:id="4"/>
      <w:r>
        <w:rPr>
          <w:rFonts w:eastAsia="楷体"/>
          <w:b/>
          <w:bCs/>
          <w:szCs w:val="32"/>
        </w:rPr>
        <w:t>存在的主要问题</w:t>
      </w:r>
      <w:bookmarkEnd w:id="5"/>
    </w:p>
    <w:p>
      <w:pPr>
        <w:spacing w:line="590" w:lineRule="exact"/>
        <w:ind w:firstLine="643" w:firstLineChars="200"/>
        <w:rPr>
          <w:rFonts w:eastAsia="仿宋"/>
          <w:szCs w:val="32"/>
        </w:rPr>
      </w:pPr>
      <w:r>
        <w:rPr>
          <w:rFonts w:eastAsia="仿宋"/>
          <w:b/>
          <w:bCs/>
          <w:color w:val="000000" w:themeColor="text1"/>
          <w:szCs w:val="32"/>
        </w:rPr>
        <w:t>生态环境质量改善任重道远。</w:t>
      </w:r>
      <w:r>
        <w:rPr>
          <w:rFonts w:eastAsia="仿宋"/>
          <w:szCs w:val="32"/>
        </w:rPr>
        <w:t>全区环境空气质量总体状况保持稳定，大部分指标有所好转，但PM</w:t>
      </w:r>
      <w:r>
        <w:rPr>
          <w:rFonts w:eastAsia="仿宋"/>
          <w:szCs w:val="32"/>
          <w:vertAlign w:val="subscript"/>
        </w:rPr>
        <w:t>2.5</w:t>
      </w:r>
      <w:r>
        <w:rPr>
          <w:rFonts w:eastAsia="仿宋"/>
          <w:szCs w:val="32"/>
        </w:rPr>
        <w:t>超标问题仍然突出</w:t>
      </w:r>
      <w:r>
        <w:rPr>
          <w:rFonts w:hint="eastAsia" w:eastAsia="仿宋"/>
          <w:szCs w:val="32"/>
        </w:rPr>
        <w:t>，环境空气质量仍未能达到国家空气质量二级标准</w:t>
      </w:r>
      <w:r>
        <w:rPr>
          <w:rFonts w:eastAsia="仿宋"/>
          <w:szCs w:val="32"/>
        </w:rPr>
        <w:t>。</w:t>
      </w:r>
      <w:r>
        <w:rPr>
          <w:rFonts w:hint="eastAsia" w:eastAsia="仿宋"/>
          <w:szCs w:val="32"/>
        </w:rPr>
        <w:t>益阳地处大气传输通道的特殊地理位置，空气质量受气象影响易反弹，夏季臭氧浓度升高趋势逐渐显现，全区空气质量稳定达标压力较大。土壤环境质量状况整体安全，但涉镉、涉锑等重金属污染地块治理和修复还需持续加强。</w:t>
      </w:r>
      <w:r>
        <w:rPr>
          <w:rFonts w:eastAsia="仿宋"/>
          <w:szCs w:val="32"/>
        </w:rPr>
        <w:t>农村生活污水点多面广，污水收集管网配套不足，污水处理设施维护困难，部分村庄还存在直排问题</w:t>
      </w:r>
      <w:r>
        <w:rPr>
          <w:rFonts w:hint="eastAsia" w:eastAsia="仿宋"/>
          <w:szCs w:val="32"/>
        </w:rPr>
        <w:t>，加之区内农业面源和畜禽养殖污染，水环境安全隐患突出，水污染防治形势较为严峻。化肥、农药等过量使用，农业面源污染逐年加剧，土壤和水体污染风险不断加剧，农业污染防治压力较大</w:t>
      </w:r>
      <w:r>
        <w:rPr>
          <w:rFonts w:eastAsia="仿宋"/>
          <w:szCs w:val="28"/>
        </w:rPr>
        <w:t>。</w:t>
      </w:r>
    </w:p>
    <w:p>
      <w:pPr>
        <w:pStyle w:val="27"/>
        <w:spacing w:line="590" w:lineRule="exact"/>
        <w:ind w:firstLine="643" w:firstLineChars="200"/>
        <w:rPr>
          <w:rFonts w:ascii="Times New Roman" w:hAnsi="Times New Roman" w:eastAsia="仿宋"/>
          <w:color w:val="auto"/>
          <w:kern w:val="2"/>
          <w:sz w:val="32"/>
          <w:szCs w:val="28"/>
        </w:rPr>
      </w:pPr>
      <w:r>
        <w:rPr>
          <w:rFonts w:ascii="Times New Roman" w:hAnsi="Times New Roman" w:eastAsia="仿宋"/>
          <w:b/>
          <w:bCs/>
          <w:color w:val="auto"/>
          <w:kern w:val="2"/>
          <w:sz w:val="32"/>
          <w:szCs w:val="28"/>
        </w:rPr>
        <w:t>环境安全隐患依然存在。</w:t>
      </w:r>
      <w:r>
        <w:rPr>
          <w:rFonts w:hint="eastAsia" w:ascii="Times New Roman" w:hAnsi="Times New Roman" w:eastAsia="仿宋"/>
          <w:color w:val="auto"/>
          <w:kern w:val="2"/>
          <w:sz w:val="32"/>
          <w:szCs w:val="28"/>
        </w:rPr>
        <w:t>工业园区企业整体装备水平不高，环境管理力度不够，环保历史欠账较多，环境违法事件时有发生，园区环境风险防范体系仍不完备，工业园区环境隐患居高不下。</w:t>
      </w:r>
    </w:p>
    <w:p>
      <w:pPr>
        <w:pStyle w:val="27"/>
        <w:spacing w:line="590" w:lineRule="exact"/>
        <w:ind w:firstLine="643" w:firstLineChars="200"/>
        <w:rPr>
          <w:rFonts w:ascii="Times New Roman" w:hAnsi="Times New Roman" w:eastAsia="仿宋"/>
          <w:color w:val="auto"/>
          <w:kern w:val="2"/>
          <w:sz w:val="32"/>
          <w:szCs w:val="28"/>
        </w:rPr>
      </w:pPr>
      <w:r>
        <w:rPr>
          <w:rFonts w:hint="eastAsia" w:ascii="Times New Roman" w:hAnsi="Times New Roman" w:eastAsia="仿宋"/>
          <w:b/>
          <w:bCs/>
          <w:color w:val="auto"/>
          <w:kern w:val="2"/>
          <w:sz w:val="32"/>
          <w:szCs w:val="28"/>
        </w:rPr>
        <w:t>碳达峰和碳减排工作形势严峻</w:t>
      </w:r>
      <w:r>
        <w:rPr>
          <w:rFonts w:ascii="Times New Roman" w:hAnsi="Times New Roman" w:eastAsia="仿宋"/>
          <w:b/>
          <w:bCs/>
          <w:color w:val="auto"/>
          <w:kern w:val="2"/>
          <w:sz w:val="32"/>
          <w:szCs w:val="28"/>
        </w:rPr>
        <w:t>。</w:t>
      </w:r>
      <w:r>
        <w:rPr>
          <w:rFonts w:hint="eastAsia" w:ascii="Times New Roman" w:hAnsi="Times New Roman" w:eastAsia="仿宋"/>
          <w:color w:val="auto"/>
          <w:kern w:val="2"/>
          <w:sz w:val="32"/>
          <w:szCs w:val="28"/>
        </w:rPr>
        <w:t>“十三五”时期，资阳区碳排放总量呈增长趋势，加上区域交通车辆日益增长、工业及建筑节能任务重，居民能耗等刚性增长需求，区域碳达峰目标依然艰巨。在能耗刚性增长的同时，碳排放强度下降空间较小。区级层面碳减排统筹协调机制仍需完善，精细治理减污降碳压力增大。</w:t>
      </w:r>
    </w:p>
    <w:p>
      <w:pPr>
        <w:pStyle w:val="27"/>
        <w:autoSpaceDE/>
        <w:autoSpaceDN/>
        <w:spacing w:line="590" w:lineRule="exact"/>
        <w:ind w:firstLine="643" w:firstLineChars="200"/>
        <w:jc w:val="both"/>
        <w:rPr>
          <w:rFonts w:ascii="Times New Roman" w:hAnsi="Times New Roman" w:eastAsia="仿宋"/>
          <w:color w:val="auto"/>
          <w:kern w:val="2"/>
          <w:sz w:val="32"/>
          <w:szCs w:val="28"/>
        </w:rPr>
      </w:pPr>
      <w:r>
        <w:rPr>
          <w:rFonts w:hint="eastAsia" w:ascii="Times New Roman" w:hAnsi="Times New Roman" w:eastAsia="仿宋"/>
          <w:b/>
          <w:bCs/>
          <w:color w:val="auto"/>
          <w:kern w:val="2"/>
          <w:sz w:val="32"/>
          <w:szCs w:val="28"/>
        </w:rPr>
        <w:t>生态环境治理体系和治理能力亟需加强</w:t>
      </w:r>
      <w:r>
        <w:rPr>
          <w:rFonts w:ascii="Times New Roman" w:hAnsi="Times New Roman" w:eastAsia="仿宋"/>
          <w:b/>
          <w:bCs/>
          <w:color w:val="auto"/>
          <w:kern w:val="2"/>
          <w:sz w:val="32"/>
          <w:szCs w:val="28"/>
        </w:rPr>
        <w:t>。</w:t>
      </w:r>
      <w:r>
        <w:rPr>
          <w:rFonts w:ascii="Times New Roman" w:hAnsi="Times New Roman" w:eastAsia="仿宋"/>
          <w:color w:val="auto"/>
          <w:kern w:val="2"/>
          <w:sz w:val="32"/>
          <w:szCs w:val="28"/>
        </w:rPr>
        <w:t>生态环境治理体系尚不健全，多部门联合监管和信息共享机制不够顺畅，全链条监管效果不显著，基层监管能力需要进一步加强。环境执法面临人员力量与执法任务不匹配、队伍素质与履职要求不适应、责任追究风险高等多重问题尚未解决。环境应急预警和风险防控力量略显薄弱，重大生态环境基础设施建设有待加强。环境治理市场化程度和社会参与程度偏弱，生态环保公益性项目资金主要依靠政府财政投入，资源环境市场配置效率有待提高。</w:t>
      </w:r>
    </w:p>
    <w:p>
      <w:pPr>
        <w:spacing w:line="590" w:lineRule="exact"/>
        <w:ind w:firstLine="643" w:firstLineChars="200"/>
        <w:outlineLvl w:val="1"/>
        <w:rPr>
          <w:rFonts w:eastAsia="楷体"/>
          <w:b/>
          <w:bCs/>
          <w:szCs w:val="32"/>
        </w:rPr>
      </w:pPr>
      <w:bookmarkStart w:id="6" w:name="_Toc29299"/>
      <w:bookmarkStart w:id="7" w:name="_Toc98755246"/>
      <w:r>
        <w:rPr>
          <w:rFonts w:eastAsia="楷体"/>
          <w:b/>
          <w:bCs/>
          <w:szCs w:val="32"/>
        </w:rPr>
        <w:t>（三）</w:t>
      </w:r>
      <w:bookmarkEnd w:id="6"/>
      <w:r>
        <w:rPr>
          <w:rFonts w:hint="eastAsia" w:eastAsia="楷体"/>
          <w:b/>
          <w:bCs/>
          <w:szCs w:val="32"/>
        </w:rPr>
        <w:t>生态环境保护面临机遇与挑战</w:t>
      </w:r>
      <w:bookmarkEnd w:id="7"/>
    </w:p>
    <w:p>
      <w:pPr>
        <w:spacing w:line="590" w:lineRule="exact"/>
        <w:ind w:firstLine="643" w:firstLineChars="200"/>
        <w:rPr>
          <w:rFonts w:eastAsia="仿宋"/>
          <w:szCs w:val="32"/>
        </w:rPr>
      </w:pPr>
      <w:r>
        <w:rPr>
          <w:rFonts w:hint="eastAsia" w:eastAsia="仿宋"/>
          <w:b/>
          <w:bCs/>
          <w:szCs w:val="28"/>
        </w:rPr>
        <w:t>机遇</w:t>
      </w:r>
      <w:r>
        <w:rPr>
          <w:rFonts w:eastAsia="仿宋"/>
          <w:b/>
          <w:bCs/>
          <w:szCs w:val="28"/>
        </w:rPr>
        <w:t>。</w:t>
      </w:r>
      <w:r>
        <w:rPr>
          <w:rFonts w:hint="eastAsia" w:eastAsia="仿宋"/>
          <w:szCs w:val="28"/>
        </w:rPr>
        <w:t>习近平生态文明思想为新时代全面加强生态环境保护、深入打好污染防治攻坚战提供了思想指引和行动指南。新的碳达峰目标、碳中和愿景成为促进经济社会系统性变革的重要推手。以人工智能为代表的第四次工业革命蓄势待发，以5G通信、物联网、云计算、大数据、地理信息集成等为代表的新一代信息技术发展日新月异，为生态环境保护赋能。生态环境空间管控体系逐步健全，生态环境保护向系统化、精准化、科学化迈进。</w:t>
      </w:r>
      <w:r>
        <w:rPr>
          <w:rFonts w:hint="eastAsia" w:eastAsia="仿宋"/>
          <w:szCs w:val="32"/>
        </w:rPr>
        <w:t>长江经济带和洞庭湖生态经济区建设上升为国家战略，湖南“一带一部”发展加快，资阳区经济发展将迎来新的重大机遇和广阔空间。资阳作为益阳两区之一及重要的农业功能区，将优化产业布局，强化农业绿色生产，推动农业绿色防控，助推农业产业提档升级增效。大益阳城市圈和“东接东进”战略，为对接“长株潭”等区域协调发展、联防联控提供了新的机遇。</w:t>
      </w:r>
    </w:p>
    <w:p>
      <w:pPr>
        <w:spacing w:line="590" w:lineRule="exact"/>
        <w:ind w:firstLine="643" w:firstLineChars="200"/>
        <w:rPr>
          <w:rFonts w:eastAsia="仿宋"/>
          <w:szCs w:val="32"/>
        </w:rPr>
      </w:pPr>
      <w:r>
        <w:rPr>
          <w:rFonts w:hint="eastAsia" w:eastAsia="仿宋"/>
          <w:b/>
          <w:bCs/>
          <w:szCs w:val="28"/>
        </w:rPr>
        <w:t>挑战</w:t>
      </w:r>
      <w:r>
        <w:rPr>
          <w:rFonts w:eastAsia="仿宋"/>
          <w:b/>
          <w:bCs/>
          <w:szCs w:val="28"/>
        </w:rPr>
        <w:t>。</w:t>
      </w:r>
      <w:r>
        <w:rPr>
          <w:rFonts w:hint="eastAsia" w:eastAsia="仿宋"/>
          <w:szCs w:val="28"/>
        </w:rPr>
        <w:t>“十四五”期间，“绿水青山就是金山银山”的发展理念将不断深化，探索实践不断加强，转型发展、绿色发展、创新发展将成为资阳区经济发展的主旋律。资阳区绿色发展底子较为薄弱，“低、小、散”企业、加工点数目较多，企业资源集约利用水平不高、污染排放管控力度不严等问题依旧存在，如何在十四五期间，推动实现高质量发展与高水平保护，探索出成熟的“两山”转化路径，是资阳区面临的重大挑战。</w:t>
      </w:r>
    </w:p>
    <w:p>
      <w:pPr>
        <w:spacing w:line="590" w:lineRule="exact"/>
        <w:ind w:firstLine="640" w:firstLineChars="200"/>
        <w:rPr>
          <w:rFonts w:eastAsia="仿宋"/>
          <w:color w:val="000000" w:themeColor="text1"/>
          <w:szCs w:val="32"/>
        </w:rPr>
      </w:pPr>
    </w:p>
    <w:p>
      <w:pPr>
        <w:spacing w:line="590" w:lineRule="exact"/>
        <w:rPr>
          <w:szCs w:val="32"/>
        </w:rPr>
      </w:pPr>
      <w:r>
        <w:rPr>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8" w:name="_Toc12897"/>
      <w:bookmarkStart w:id="9" w:name="_Toc98755247"/>
      <w:r>
        <w:rPr>
          <w:rFonts w:ascii="Times New Roman" w:hAnsi="Times New Roman" w:eastAsia="黑体" w:cs="Times New Roman"/>
          <w:b w:val="0"/>
          <w:bCs w:val="0"/>
          <w:color w:val="000000" w:themeColor="text1"/>
        </w:rPr>
        <w:t>二、</w:t>
      </w:r>
      <w:bookmarkEnd w:id="8"/>
      <w:r>
        <w:rPr>
          <w:rFonts w:ascii="Times New Roman" w:hAnsi="Times New Roman" w:eastAsia="黑体" w:cs="Times New Roman"/>
          <w:b w:val="0"/>
          <w:bCs w:val="0"/>
          <w:color w:val="000000" w:themeColor="text1"/>
        </w:rPr>
        <w:t>总体要求</w:t>
      </w:r>
      <w:bookmarkEnd w:id="9"/>
    </w:p>
    <w:p>
      <w:pPr>
        <w:spacing w:line="590" w:lineRule="exact"/>
        <w:ind w:firstLine="643" w:firstLineChars="200"/>
        <w:outlineLvl w:val="1"/>
        <w:rPr>
          <w:rFonts w:eastAsia="楷体"/>
          <w:b/>
          <w:bCs/>
          <w:szCs w:val="32"/>
        </w:rPr>
      </w:pPr>
      <w:bookmarkStart w:id="10" w:name="_Toc98755248"/>
      <w:r>
        <w:rPr>
          <w:rFonts w:eastAsia="楷体"/>
          <w:b/>
          <w:bCs/>
          <w:szCs w:val="32"/>
        </w:rPr>
        <w:t>（一）指导思想</w:t>
      </w:r>
      <w:bookmarkEnd w:id="10"/>
    </w:p>
    <w:p>
      <w:pPr>
        <w:spacing w:line="590" w:lineRule="exact"/>
        <w:ind w:firstLine="640" w:firstLineChars="200"/>
        <w:rPr>
          <w:szCs w:val="32"/>
        </w:rPr>
      </w:pPr>
      <w:r>
        <w:rPr>
          <w:rFonts w:hint="eastAsia" w:eastAsia="仿宋"/>
          <w:szCs w:val="32"/>
        </w:rPr>
        <w:t>以习近平新时代中国特色社会主义思想为指导，全面贯彻落实党的十九大和十九届二中、三中、四中、五中全会精神，深入贯彻习近平生态文明思想，坚持以人民为中心，在全面建成小康社会、深入打好污染防治攻坚战，着力解决突出环境问题，持续改善生态环境质量，有效防控环境风险，维护生态安全和生物安全，坚持走绿色发展之路，协同推进经济高质量发展和生态环境高水平保护，为加快建设富饶资阳、创新资阳、开放资阳、绿色资阳、幸福资阳奠定坚实的生态环境基础。</w:t>
      </w:r>
    </w:p>
    <w:p>
      <w:pPr>
        <w:spacing w:line="590" w:lineRule="exact"/>
        <w:ind w:firstLine="643" w:firstLineChars="200"/>
        <w:outlineLvl w:val="1"/>
        <w:rPr>
          <w:rFonts w:eastAsia="楷体"/>
          <w:b/>
          <w:bCs/>
          <w:szCs w:val="32"/>
        </w:rPr>
      </w:pPr>
      <w:bookmarkStart w:id="11" w:name="_Toc98755249"/>
      <w:r>
        <w:rPr>
          <w:rFonts w:eastAsia="楷体"/>
          <w:b/>
          <w:bCs/>
          <w:szCs w:val="32"/>
        </w:rPr>
        <w:t>（二）基本原则</w:t>
      </w:r>
      <w:bookmarkEnd w:id="11"/>
    </w:p>
    <w:p>
      <w:pPr>
        <w:spacing w:line="590" w:lineRule="exact"/>
        <w:ind w:firstLine="643" w:firstLineChars="200"/>
        <w:rPr>
          <w:rFonts w:eastAsia="仿宋"/>
          <w:szCs w:val="32"/>
        </w:rPr>
      </w:pPr>
      <w:r>
        <w:rPr>
          <w:rFonts w:eastAsia="仿宋"/>
          <w:b/>
          <w:bCs/>
          <w:szCs w:val="32"/>
          <w:lang w:val="zh-CN"/>
        </w:rPr>
        <w:t>生</w:t>
      </w:r>
      <w:r>
        <w:rPr>
          <w:rFonts w:eastAsia="仿宋"/>
          <w:b/>
          <w:bCs/>
          <w:szCs w:val="32"/>
        </w:rPr>
        <w:t>态优先，绿色发展。</w:t>
      </w:r>
      <w:r>
        <w:rPr>
          <w:rFonts w:eastAsia="仿宋"/>
          <w:szCs w:val="32"/>
        </w:rPr>
        <w:t>树立绿水青山就是金山银山理念，坚持共抓大保护、不搞大开发，将生态环境保护融入经济社会发展全过程，建立绿色、高效、低碳的经济体系、能源体系和资源利用体系。</w:t>
      </w:r>
    </w:p>
    <w:p>
      <w:pPr>
        <w:spacing w:line="590" w:lineRule="exact"/>
        <w:ind w:firstLine="643" w:firstLineChars="200"/>
        <w:rPr>
          <w:rFonts w:eastAsia="仿宋"/>
          <w:szCs w:val="32"/>
        </w:rPr>
      </w:pPr>
      <w:r>
        <w:rPr>
          <w:rFonts w:eastAsia="仿宋"/>
          <w:b/>
          <w:bCs/>
          <w:szCs w:val="32"/>
        </w:rPr>
        <w:t>以人为本，系统治理。</w:t>
      </w:r>
      <w:r>
        <w:rPr>
          <w:rFonts w:hint="eastAsia" w:eastAsia="仿宋"/>
          <w:szCs w:val="32"/>
        </w:rPr>
        <w:t>坚持山水林田湖草系统治理，将改善环境质量、保障人体健康作为根本出发点，统筹推进生态环境治理。着力解决制约转型发展和群众反映强烈的突出问题。</w:t>
      </w:r>
    </w:p>
    <w:p>
      <w:pPr>
        <w:spacing w:line="590" w:lineRule="exact"/>
        <w:ind w:firstLine="643" w:firstLineChars="200"/>
        <w:rPr>
          <w:szCs w:val="32"/>
        </w:rPr>
      </w:pPr>
      <w:r>
        <w:rPr>
          <w:rFonts w:hint="eastAsia" w:eastAsia="仿宋"/>
          <w:b/>
          <w:bCs/>
          <w:szCs w:val="32"/>
        </w:rPr>
        <w:t>目标引领，问题导向</w:t>
      </w:r>
      <w:r>
        <w:rPr>
          <w:rFonts w:eastAsia="仿宋"/>
          <w:b/>
          <w:bCs/>
          <w:szCs w:val="32"/>
        </w:rPr>
        <w:t>。</w:t>
      </w:r>
      <w:r>
        <w:rPr>
          <w:rFonts w:hint="eastAsia" w:eastAsia="仿宋"/>
          <w:szCs w:val="32"/>
        </w:rPr>
        <w:t>围绕“五个资阳”的美好愿景，谋划未来五年生态文明建设和生态环境保护的战略布局、目标指标和重点任务。</w:t>
      </w:r>
    </w:p>
    <w:p>
      <w:pPr>
        <w:spacing w:line="590" w:lineRule="exact"/>
        <w:ind w:firstLine="643" w:firstLineChars="200"/>
        <w:rPr>
          <w:rFonts w:eastAsia="仿宋"/>
          <w:szCs w:val="32"/>
        </w:rPr>
      </w:pPr>
      <w:r>
        <w:rPr>
          <w:rFonts w:eastAsia="仿宋"/>
          <w:b/>
          <w:bCs/>
          <w:szCs w:val="32"/>
        </w:rPr>
        <w:t>政府主导，共治共享。</w:t>
      </w:r>
      <w:r>
        <w:rPr>
          <w:rFonts w:hint="eastAsia" w:eastAsia="仿宋"/>
          <w:szCs w:val="32"/>
        </w:rPr>
        <w:t>综合运用政府“有形之手”、市场“无形之手”和社会“自治之手”，建立健全紧密联系的制度框架，对政府、企业和社会的生态环境行为进行有效规范、引导和监督。</w:t>
      </w:r>
    </w:p>
    <w:p>
      <w:pPr>
        <w:spacing w:line="590" w:lineRule="exact"/>
        <w:ind w:firstLine="643" w:firstLineChars="200"/>
        <w:outlineLvl w:val="1"/>
        <w:rPr>
          <w:rFonts w:eastAsia="楷体"/>
          <w:b/>
          <w:bCs/>
          <w:color w:val="000000" w:themeColor="text1"/>
          <w:szCs w:val="32"/>
        </w:rPr>
      </w:pPr>
      <w:bookmarkStart w:id="12" w:name="_Toc98755250"/>
      <w:r>
        <w:rPr>
          <w:rFonts w:eastAsia="楷体"/>
          <w:b/>
          <w:bCs/>
          <w:color w:val="000000" w:themeColor="text1"/>
          <w:szCs w:val="32"/>
        </w:rPr>
        <w:t>（三）</w:t>
      </w:r>
      <w:r>
        <w:rPr>
          <w:rFonts w:hint="eastAsia" w:eastAsia="楷体"/>
          <w:b/>
          <w:bCs/>
          <w:color w:val="000000" w:themeColor="text1"/>
          <w:szCs w:val="32"/>
        </w:rPr>
        <w:t>规划范围与期限</w:t>
      </w:r>
      <w:bookmarkEnd w:id="12"/>
    </w:p>
    <w:p>
      <w:pPr>
        <w:pStyle w:val="9"/>
        <w:spacing w:after="0" w:line="590" w:lineRule="exact"/>
        <w:ind w:left="0" w:leftChars="0" w:right="0" w:rightChars="0" w:firstLine="643" w:firstLineChars="200"/>
        <w:rPr>
          <w:rFonts w:ascii="Times New Roman" w:hAnsi="Times New Roman" w:cs="Times New Roman"/>
          <w:b/>
          <w:color w:val="000000" w:themeColor="text1"/>
        </w:rPr>
      </w:pPr>
      <w:r>
        <w:rPr>
          <w:rFonts w:ascii="Times New Roman" w:hAnsi="Times New Roman" w:cs="Times New Roman"/>
          <w:b/>
          <w:color w:val="000000" w:themeColor="text1"/>
          <w:lang w:val="zh-CN"/>
        </w:rPr>
        <w:t>1.</w:t>
      </w:r>
      <w:r>
        <w:rPr>
          <w:rFonts w:hint="eastAsia" w:ascii="Times New Roman" w:hAnsi="Times New Roman" w:cs="Times New Roman"/>
          <w:b/>
          <w:color w:val="000000" w:themeColor="text1"/>
          <w:lang w:val="zh-CN"/>
        </w:rPr>
        <w:t>规划范围</w:t>
      </w:r>
    </w:p>
    <w:p>
      <w:pPr>
        <w:spacing w:line="590" w:lineRule="exact"/>
        <w:ind w:firstLine="640" w:firstLineChars="200"/>
        <w:rPr>
          <w:rFonts w:eastAsia="仿宋"/>
          <w:color w:val="000000" w:themeColor="text1"/>
          <w:szCs w:val="32"/>
        </w:rPr>
      </w:pPr>
      <w:r>
        <w:rPr>
          <w:rFonts w:hint="eastAsia" w:eastAsia="仿宋"/>
          <w:color w:val="000000" w:themeColor="text1"/>
          <w:szCs w:val="32"/>
        </w:rPr>
        <w:t>益阳市资阳区行政区划范围，包括大码头、汽车路2个街道办事处，长春镇、新桥河镇、茈湖口镇、沙头镇、迎风桥镇、张家塞乡5个镇1个乡，另设1个省级工业园区：益阳长春经济开发区。</w:t>
      </w:r>
    </w:p>
    <w:p>
      <w:pPr>
        <w:pStyle w:val="9"/>
        <w:spacing w:after="0" w:line="590" w:lineRule="exact"/>
        <w:ind w:left="0" w:leftChars="0" w:right="0" w:rightChars="0" w:firstLine="643" w:firstLineChars="200"/>
        <w:rPr>
          <w:rFonts w:ascii="Times New Roman" w:hAnsi="Times New Roman" w:cs="Times New Roman"/>
          <w:b/>
          <w:color w:val="000000" w:themeColor="text1"/>
        </w:rPr>
      </w:pPr>
      <w:r>
        <w:rPr>
          <w:rFonts w:hint="eastAsia" w:ascii="Times New Roman" w:hAnsi="Times New Roman" w:cs="Times New Roman"/>
          <w:b/>
          <w:color w:val="000000" w:themeColor="text1"/>
          <w:lang w:val="zh-CN"/>
        </w:rPr>
        <w:t>2</w:t>
      </w:r>
      <w:r>
        <w:rPr>
          <w:rFonts w:ascii="Times New Roman" w:hAnsi="Times New Roman" w:cs="Times New Roman"/>
          <w:b/>
          <w:color w:val="000000" w:themeColor="text1"/>
          <w:lang w:val="zh-CN"/>
        </w:rPr>
        <w:t>.</w:t>
      </w:r>
      <w:r>
        <w:rPr>
          <w:rFonts w:hint="eastAsia" w:ascii="Times New Roman" w:hAnsi="Times New Roman" w:cs="Times New Roman"/>
          <w:b/>
          <w:color w:val="000000" w:themeColor="text1"/>
          <w:lang w:val="zh-CN"/>
        </w:rPr>
        <w:t>规划期限</w:t>
      </w:r>
    </w:p>
    <w:p>
      <w:pPr>
        <w:spacing w:line="590" w:lineRule="exact"/>
        <w:ind w:firstLine="640" w:firstLineChars="200"/>
        <w:rPr>
          <w:rFonts w:eastAsia="仿宋"/>
          <w:color w:val="000000" w:themeColor="text1"/>
          <w:szCs w:val="32"/>
        </w:rPr>
      </w:pPr>
      <w:r>
        <w:rPr>
          <w:rFonts w:hint="eastAsia" w:eastAsia="仿宋"/>
          <w:color w:val="000000" w:themeColor="text1"/>
          <w:szCs w:val="32"/>
        </w:rPr>
        <w:t>基准年：2020年。</w:t>
      </w:r>
    </w:p>
    <w:p>
      <w:pPr>
        <w:spacing w:line="590" w:lineRule="exact"/>
        <w:ind w:firstLine="640" w:firstLineChars="200"/>
        <w:rPr>
          <w:rFonts w:eastAsia="仿宋"/>
          <w:color w:val="000000" w:themeColor="text1"/>
          <w:szCs w:val="32"/>
        </w:rPr>
      </w:pPr>
      <w:r>
        <w:rPr>
          <w:rFonts w:hint="eastAsia" w:eastAsia="仿宋"/>
          <w:color w:val="000000" w:themeColor="text1"/>
          <w:szCs w:val="32"/>
        </w:rPr>
        <w:t>规划期限：2021年-2025年。</w:t>
      </w:r>
    </w:p>
    <w:p>
      <w:pPr>
        <w:spacing w:line="590" w:lineRule="exact"/>
        <w:ind w:firstLine="643" w:firstLineChars="200"/>
        <w:outlineLvl w:val="1"/>
        <w:rPr>
          <w:rFonts w:eastAsia="楷体"/>
          <w:b/>
          <w:bCs/>
          <w:color w:val="000000" w:themeColor="text1"/>
          <w:szCs w:val="32"/>
        </w:rPr>
      </w:pPr>
      <w:bookmarkStart w:id="13" w:name="_Toc98755251"/>
      <w:r>
        <w:rPr>
          <w:rFonts w:eastAsia="楷体"/>
          <w:b/>
          <w:bCs/>
          <w:color w:val="000000" w:themeColor="text1"/>
          <w:szCs w:val="32"/>
        </w:rPr>
        <w:t>（</w:t>
      </w:r>
      <w:r>
        <w:rPr>
          <w:rFonts w:hint="eastAsia" w:eastAsia="楷体"/>
          <w:b/>
          <w:bCs/>
          <w:color w:val="000000" w:themeColor="text1"/>
          <w:szCs w:val="32"/>
        </w:rPr>
        <w:t>四</w:t>
      </w:r>
      <w:r>
        <w:rPr>
          <w:rFonts w:eastAsia="楷体"/>
          <w:b/>
          <w:bCs/>
          <w:color w:val="000000" w:themeColor="text1"/>
          <w:szCs w:val="32"/>
        </w:rPr>
        <w:t>）</w:t>
      </w:r>
      <w:r>
        <w:rPr>
          <w:rFonts w:hint="eastAsia" w:eastAsia="楷体"/>
          <w:b/>
          <w:bCs/>
          <w:color w:val="000000" w:themeColor="text1"/>
          <w:szCs w:val="32"/>
        </w:rPr>
        <w:t>规划总体</w:t>
      </w:r>
      <w:r>
        <w:rPr>
          <w:rFonts w:eastAsia="楷体"/>
          <w:b/>
          <w:bCs/>
          <w:color w:val="000000" w:themeColor="text1"/>
          <w:szCs w:val="32"/>
        </w:rPr>
        <w:t>目标</w:t>
      </w:r>
      <w:bookmarkEnd w:id="13"/>
    </w:p>
    <w:p>
      <w:pPr>
        <w:spacing w:line="590" w:lineRule="exact"/>
        <w:ind w:firstLine="640" w:firstLineChars="200"/>
        <w:rPr>
          <w:rFonts w:eastAsia="仿宋"/>
          <w:color w:val="000000" w:themeColor="text1"/>
          <w:szCs w:val="32"/>
        </w:rPr>
      </w:pPr>
      <w:r>
        <w:rPr>
          <w:rFonts w:hint="eastAsia" w:eastAsia="仿宋"/>
          <w:color w:val="000000" w:themeColor="text1"/>
          <w:szCs w:val="32"/>
        </w:rPr>
        <w:t>加快补齐生态环境质量短板，到2025年，生态环境质量取得稳定改善，污染物排放总量持续减少，温室气体排放快速增长趋势得到有效遏制，环境风险有效控制，生态环境治理体系和治理能力显著增强。</w:t>
      </w:r>
    </w:p>
    <w:p>
      <w:pPr>
        <w:widowControl/>
        <w:adjustRightInd w:val="0"/>
        <w:snapToGrid w:val="0"/>
        <w:spacing w:line="568" w:lineRule="exact"/>
        <w:ind w:firstLine="643" w:firstLineChars="200"/>
        <w:jc w:val="left"/>
        <w:rPr>
          <w:szCs w:val="32"/>
        </w:rPr>
      </w:pPr>
      <w:r>
        <w:rPr>
          <w:b/>
        </w:rPr>
        <w:t>——</w:t>
      </w:r>
      <w:r>
        <w:rPr>
          <w:rFonts w:hint="eastAsia"/>
          <w:b/>
          <w:color w:val="000000"/>
          <w:kern w:val="0"/>
          <w:szCs w:val="32"/>
        </w:rPr>
        <w:t>低碳</w:t>
      </w:r>
      <w:r>
        <w:rPr>
          <w:b/>
          <w:color w:val="000000"/>
          <w:kern w:val="0"/>
          <w:szCs w:val="32"/>
        </w:rPr>
        <w:t>。</w:t>
      </w:r>
      <w:r>
        <w:rPr>
          <w:rFonts w:eastAsia="仿宋"/>
          <w:szCs w:val="22"/>
        </w:rPr>
        <w:t>国土空间开发保护格局进一步优化，绿色低碳循环发展的生产体系、流通体系、消费体系初步形成，应对气候变化取得积极成效，碳</w:t>
      </w:r>
      <w:r>
        <w:rPr>
          <w:rFonts w:hint="eastAsia" w:eastAsia="仿宋"/>
          <w:szCs w:val="22"/>
        </w:rPr>
        <w:t>排放总量和</w:t>
      </w:r>
      <w:r>
        <w:rPr>
          <w:rFonts w:eastAsia="仿宋"/>
          <w:szCs w:val="22"/>
        </w:rPr>
        <w:t>排放强度持续下降，</w:t>
      </w:r>
      <w:r>
        <w:rPr>
          <w:rFonts w:hint="eastAsia" w:eastAsia="仿宋"/>
          <w:szCs w:val="22"/>
        </w:rPr>
        <w:t>资源利用效率大幅提升，单位地区生产总值能耗、水耗持续下降，</w:t>
      </w:r>
      <w:r>
        <w:rPr>
          <w:rFonts w:eastAsia="仿宋"/>
          <w:szCs w:val="22"/>
        </w:rPr>
        <w:t>为实现碳达峰奠定良好基础。</w:t>
      </w:r>
    </w:p>
    <w:p>
      <w:pPr>
        <w:spacing w:line="560" w:lineRule="exact"/>
        <w:ind w:firstLine="643" w:firstLineChars="200"/>
        <w:rPr>
          <w:rFonts w:eastAsia="仿宋"/>
          <w:szCs w:val="32"/>
        </w:rPr>
      </w:pPr>
      <w:r>
        <w:rPr>
          <w:b/>
        </w:rPr>
        <w:t>——</w:t>
      </w:r>
      <w:r>
        <w:rPr>
          <w:rFonts w:hint="eastAsia"/>
          <w:b/>
        </w:rPr>
        <w:t>天蓝、水清、土净</w:t>
      </w:r>
      <w:r>
        <w:rPr>
          <w:b/>
        </w:rPr>
        <w:t>。</w:t>
      </w:r>
      <w:r>
        <w:rPr>
          <w:rFonts w:hint="eastAsia" w:eastAsia="仿宋"/>
          <w:szCs w:val="32"/>
          <w:lang w:val="zh-CN"/>
        </w:rPr>
        <w:t>环境空气质量稳步改善，</w:t>
      </w:r>
      <w:r>
        <w:rPr>
          <w:rFonts w:eastAsia="仿宋"/>
          <w:szCs w:val="32"/>
          <w:lang w:val="zh-CN"/>
        </w:rPr>
        <w:t>重污染天气大幅减少</w:t>
      </w:r>
      <w:r>
        <w:rPr>
          <w:rFonts w:eastAsia="仿宋"/>
          <w:szCs w:val="32"/>
        </w:rPr>
        <w:t>，力争空气质量稳定达标</w:t>
      </w:r>
      <w:r>
        <w:rPr>
          <w:rFonts w:hint="eastAsia" w:eastAsia="仿宋"/>
          <w:szCs w:val="32"/>
        </w:rPr>
        <w:t>，各主要污染因子减排量达到省市要求</w:t>
      </w:r>
      <w:r>
        <w:rPr>
          <w:rFonts w:eastAsia="仿宋"/>
          <w:szCs w:val="32"/>
        </w:rPr>
        <w:t>；水环境质量持续改善，水生态建设得到加强，饮用水安全保障水平持续提升；土壤安全利用水平巩固提升，受污染耕地和重点建设用地实现安全利用和有效管控。</w:t>
      </w:r>
    </w:p>
    <w:p>
      <w:pPr>
        <w:spacing w:line="590" w:lineRule="exact"/>
        <w:ind w:firstLine="643" w:firstLineChars="200"/>
        <w:outlineLvl w:val="1"/>
        <w:rPr>
          <w:rFonts w:eastAsia="楷体"/>
          <w:b/>
          <w:bCs/>
          <w:color w:val="000000" w:themeColor="text1"/>
          <w:szCs w:val="32"/>
        </w:rPr>
      </w:pPr>
      <w:bookmarkStart w:id="14" w:name="_Toc98755252"/>
      <w:r>
        <w:rPr>
          <w:rFonts w:eastAsia="楷体"/>
          <w:b/>
          <w:bCs/>
          <w:color w:val="000000" w:themeColor="text1"/>
          <w:szCs w:val="32"/>
        </w:rPr>
        <w:t>（</w:t>
      </w:r>
      <w:r>
        <w:rPr>
          <w:rFonts w:hint="eastAsia" w:eastAsia="楷体"/>
          <w:b/>
          <w:bCs/>
          <w:color w:val="000000" w:themeColor="text1"/>
          <w:szCs w:val="32"/>
        </w:rPr>
        <w:t>五</w:t>
      </w:r>
      <w:r>
        <w:rPr>
          <w:rFonts w:eastAsia="楷体"/>
          <w:b/>
          <w:bCs/>
          <w:color w:val="000000" w:themeColor="text1"/>
          <w:szCs w:val="32"/>
        </w:rPr>
        <w:t>）</w:t>
      </w:r>
      <w:r>
        <w:rPr>
          <w:rFonts w:hint="eastAsia" w:eastAsia="楷体"/>
          <w:b/>
          <w:bCs/>
          <w:color w:val="000000" w:themeColor="text1"/>
          <w:szCs w:val="32"/>
        </w:rPr>
        <w:t>规划目标指标体系</w:t>
      </w:r>
      <w:bookmarkEnd w:id="14"/>
    </w:p>
    <w:p>
      <w:pPr>
        <w:pStyle w:val="9"/>
        <w:spacing w:after="0" w:line="560" w:lineRule="exact"/>
        <w:ind w:left="0" w:leftChars="0" w:right="0" w:rightChars="0" w:firstLine="640" w:firstLineChars="200"/>
        <w:rPr>
          <w:rFonts w:ascii="Times New Roman" w:hAnsi="Times New Roman" w:eastAsia="仿宋" w:cs="Times New Roman"/>
        </w:rPr>
      </w:pPr>
      <w:r>
        <w:rPr>
          <w:rFonts w:ascii="Times New Roman" w:hAnsi="Times New Roman" w:eastAsia="仿宋" w:cs="Times New Roman"/>
          <w:szCs w:val="32"/>
        </w:rPr>
        <w:t xml:space="preserve"> “</w:t>
      </w:r>
      <w:r>
        <w:rPr>
          <w:rFonts w:ascii="Times New Roman" w:hAnsi="Times New Roman" w:eastAsia="仿宋" w:cs="Times New Roman"/>
          <w:color w:val="000000"/>
          <w:kern w:val="0"/>
          <w:szCs w:val="32"/>
        </w:rPr>
        <w:t>十四五</w:t>
      </w:r>
      <w:r>
        <w:rPr>
          <w:rFonts w:ascii="Times New Roman" w:hAnsi="Times New Roman" w:eastAsia="仿宋" w:cs="Times New Roman"/>
          <w:szCs w:val="32"/>
        </w:rPr>
        <w:t>”</w:t>
      </w:r>
      <w:r>
        <w:rPr>
          <w:rFonts w:ascii="Times New Roman" w:hAnsi="Times New Roman" w:eastAsia="仿宋" w:cs="Times New Roman"/>
          <w:szCs w:val="22"/>
        </w:rPr>
        <w:t>期</w:t>
      </w:r>
      <w:r>
        <w:rPr>
          <w:rFonts w:ascii="Times New Roman" w:hAnsi="Times New Roman" w:eastAsia="仿宋" w:cs="Times New Roman"/>
        </w:rPr>
        <w:t>间共设置生态环境保护主要指标2</w:t>
      </w:r>
      <w:r>
        <w:rPr>
          <w:rFonts w:hint="eastAsia" w:ascii="Times New Roman" w:hAnsi="Times New Roman" w:eastAsia="仿宋" w:cs="Times New Roman"/>
        </w:rPr>
        <w:t>3</w:t>
      </w:r>
      <w:r>
        <w:rPr>
          <w:rFonts w:ascii="Times New Roman" w:hAnsi="Times New Roman" w:eastAsia="仿宋" w:cs="Times New Roman"/>
        </w:rPr>
        <w:t>项，其中约束性指标1</w:t>
      </w:r>
      <w:r>
        <w:rPr>
          <w:rFonts w:hint="eastAsia" w:ascii="Times New Roman" w:hAnsi="Times New Roman" w:eastAsia="仿宋" w:cs="Times New Roman"/>
        </w:rPr>
        <w:t>0</w:t>
      </w:r>
      <w:r>
        <w:rPr>
          <w:rFonts w:ascii="Times New Roman" w:hAnsi="Times New Roman" w:eastAsia="仿宋" w:cs="Times New Roman"/>
        </w:rPr>
        <w:t>项，预期性指标13项，涵盖</w:t>
      </w:r>
      <w:r>
        <w:rPr>
          <w:rFonts w:ascii="Times New Roman" w:hAnsi="Times New Roman" w:eastAsia="仿宋" w:cs="Times New Roman"/>
          <w:szCs w:val="32"/>
        </w:rPr>
        <w:t>应对气候变化、环境治理、生态保护、环境风险防控四大领域</w:t>
      </w:r>
      <w:r>
        <w:rPr>
          <w:rFonts w:ascii="Times New Roman" w:hAnsi="Times New Roman" w:eastAsia="仿宋" w:cs="Times New Roman"/>
        </w:rPr>
        <w:t>。</w:t>
      </w:r>
    </w:p>
    <w:tbl>
      <w:tblPr>
        <w:tblStyle w:val="19"/>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957"/>
        <w:gridCol w:w="2918"/>
        <w:gridCol w:w="912"/>
        <w:gridCol w:w="1000"/>
        <w:gridCol w:w="132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643" w:type="dxa"/>
            <w:gridSpan w:val="7"/>
            <w:tcBorders>
              <w:top w:val="nil"/>
              <w:left w:val="nil"/>
              <w:bottom w:val="single" w:color="auto" w:sz="4" w:space="0"/>
              <w:right w:val="nil"/>
            </w:tcBorders>
            <w:vAlign w:val="center"/>
          </w:tcPr>
          <w:p>
            <w:pPr>
              <w:widowControl/>
              <w:adjustRightInd w:val="0"/>
              <w:snapToGrid w:val="0"/>
              <w:spacing w:line="590" w:lineRule="exact"/>
              <w:jc w:val="center"/>
              <w:rPr>
                <w:rFonts w:eastAsia="仿宋"/>
                <w:b/>
                <w:bCs/>
                <w:color w:val="0C0C0C"/>
                <w:kern w:val="0"/>
                <w:szCs w:val="32"/>
              </w:rPr>
            </w:pPr>
            <w:r>
              <w:rPr>
                <w:rFonts w:eastAsia="黑体"/>
                <w:color w:val="000000"/>
                <w:sz w:val="24"/>
                <w:szCs w:val="24"/>
              </w:rPr>
              <w:t>表</w:t>
            </w:r>
            <w:r>
              <w:rPr>
                <w:rFonts w:hint="eastAsia" w:eastAsia="黑体"/>
                <w:color w:val="000000"/>
                <w:sz w:val="24"/>
                <w:szCs w:val="24"/>
              </w:rPr>
              <w:t>2</w:t>
            </w:r>
            <w:r>
              <w:rPr>
                <w:rFonts w:eastAsia="黑体"/>
                <w:color w:val="000000"/>
                <w:sz w:val="24"/>
                <w:szCs w:val="24"/>
              </w:rPr>
              <w:t>“十四五”生态环境保护规划指标体系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580"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序号</w:t>
            </w:r>
          </w:p>
        </w:tc>
        <w:tc>
          <w:tcPr>
            <w:tcW w:w="957"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指标</w:t>
            </w:r>
          </w:p>
          <w:p>
            <w:pPr>
              <w:widowControl/>
              <w:adjustRightInd w:val="0"/>
              <w:snapToGrid w:val="0"/>
              <w:jc w:val="center"/>
              <w:rPr>
                <w:rFonts w:eastAsia="黑体"/>
                <w:bCs/>
                <w:kern w:val="0"/>
                <w:sz w:val="24"/>
                <w:szCs w:val="22"/>
              </w:rPr>
            </w:pPr>
            <w:r>
              <w:rPr>
                <w:rFonts w:eastAsia="黑体"/>
                <w:bCs/>
                <w:kern w:val="0"/>
                <w:sz w:val="24"/>
                <w:szCs w:val="22"/>
              </w:rPr>
              <w:t>分类</w:t>
            </w:r>
          </w:p>
        </w:tc>
        <w:tc>
          <w:tcPr>
            <w:tcW w:w="2918"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指标名称</w:t>
            </w:r>
          </w:p>
        </w:tc>
        <w:tc>
          <w:tcPr>
            <w:tcW w:w="912"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单位</w:t>
            </w:r>
          </w:p>
        </w:tc>
        <w:tc>
          <w:tcPr>
            <w:tcW w:w="1000"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2020年</w:t>
            </w:r>
          </w:p>
        </w:tc>
        <w:tc>
          <w:tcPr>
            <w:tcW w:w="1325"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2025年</w:t>
            </w:r>
          </w:p>
        </w:tc>
        <w:tc>
          <w:tcPr>
            <w:tcW w:w="951" w:type="dxa"/>
            <w:tcBorders>
              <w:top w:val="single" w:color="auto" w:sz="4" w:space="0"/>
            </w:tcBorders>
            <w:vAlign w:val="center"/>
          </w:tcPr>
          <w:p>
            <w:pPr>
              <w:widowControl/>
              <w:adjustRightInd w:val="0"/>
              <w:snapToGrid w:val="0"/>
              <w:jc w:val="center"/>
              <w:rPr>
                <w:rFonts w:eastAsia="黑体"/>
                <w:bCs/>
                <w:kern w:val="0"/>
                <w:sz w:val="24"/>
                <w:szCs w:val="22"/>
              </w:rPr>
            </w:pPr>
            <w:r>
              <w:rPr>
                <w:rFonts w:eastAsia="黑体"/>
                <w:bCs/>
                <w:kern w:val="0"/>
                <w:sz w:val="24"/>
                <w:szCs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p>
        </w:tc>
        <w:tc>
          <w:tcPr>
            <w:tcW w:w="957" w:type="dxa"/>
            <w:vMerge w:val="restart"/>
            <w:vAlign w:val="center"/>
          </w:tcPr>
          <w:p>
            <w:pPr>
              <w:widowControl/>
              <w:adjustRightInd w:val="0"/>
              <w:snapToGrid w:val="0"/>
              <w:jc w:val="center"/>
              <w:rPr>
                <w:rFonts w:eastAsia="仿宋"/>
                <w:color w:val="0C0C0C"/>
                <w:kern w:val="0"/>
                <w:sz w:val="24"/>
                <w:szCs w:val="24"/>
              </w:rPr>
            </w:pPr>
            <w:r>
              <w:rPr>
                <w:rFonts w:eastAsia="仿宋"/>
                <w:color w:val="0C0C0C"/>
                <w:kern w:val="0"/>
                <w:sz w:val="24"/>
                <w:szCs w:val="24"/>
              </w:rPr>
              <w:t>应对气候变化</w:t>
            </w: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单位地区生产总值二氧化碳排放降低</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18</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单位国内生产总值能耗消耗降低</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16.7</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3</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非化石能源占一次能源消费比例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45</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53</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4</w:t>
            </w:r>
          </w:p>
        </w:tc>
        <w:tc>
          <w:tcPr>
            <w:tcW w:w="957" w:type="dxa"/>
            <w:vMerge w:val="restart"/>
            <w:vAlign w:val="center"/>
          </w:tcPr>
          <w:p>
            <w:pPr>
              <w:widowControl/>
              <w:adjustRightInd w:val="0"/>
              <w:snapToGrid w:val="0"/>
              <w:jc w:val="center"/>
              <w:rPr>
                <w:rFonts w:eastAsia="仿宋"/>
                <w:color w:val="0C0C0C"/>
                <w:kern w:val="0"/>
                <w:sz w:val="24"/>
                <w:szCs w:val="24"/>
              </w:rPr>
            </w:pPr>
            <w:r>
              <w:rPr>
                <w:rFonts w:eastAsia="仿宋"/>
                <w:color w:val="0C0C0C"/>
                <w:kern w:val="0"/>
                <w:sz w:val="24"/>
                <w:szCs w:val="24"/>
              </w:rPr>
              <w:t>环境</w:t>
            </w:r>
          </w:p>
          <w:p>
            <w:pPr>
              <w:widowControl/>
              <w:adjustRightInd w:val="0"/>
              <w:snapToGrid w:val="0"/>
              <w:jc w:val="center"/>
              <w:rPr>
                <w:rFonts w:eastAsia="仿宋"/>
                <w:color w:val="0C0C0C"/>
                <w:kern w:val="0"/>
                <w:sz w:val="24"/>
                <w:szCs w:val="24"/>
              </w:rPr>
            </w:pPr>
            <w:r>
              <w:rPr>
                <w:rFonts w:eastAsia="仿宋"/>
                <w:color w:val="0C0C0C"/>
                <w:kern w:val="0"/>
                <w:sz w:val="24"/>
                <w:szCs w:val="24"/>
              </w:rPr>
              <w:t>治理</w:t>
            </w: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城市PM</w:t>
            </w:r>
            <w:r>
              <w:rPr>
                <w:rFonts w:eastAsia="仿宋"/>
                <w:bCs/>
                <w:kern w:val="0"/>
                <w:sz w:val="24"/>
                <w:szCs w:val="22"/>
                <w:vertAlign w:val="subscript"/>
              </w:rPr>
              <w:t>2.5</w:t>
            </w:r>
            <w:r>
              <w:rPr>
                <w:rFonts w:eastAsia="仿宋"/>
                <w:bCs/>
                <w:kern w:val="0"/>
                <w:sz w:val="24"/>
                <w:szCs w:val="22"/>
              </w:rPr>
              <w:t>年平均浓度下降*</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6.5</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5</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城市空气质量优良天数比率*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84.</w:t>
            </w:r>
            <w:r>
              <w:rPr>
                <w:rFonts w:hint="eastAsia" w:eastAsia="仿宋"/>
                <w:bCs/>
                <w:kern w:val="0"/>
                <w:sz w:val="24"/>
                <w:szCs w:val="22"/>
              </w:rPr>
              <w:t>2</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6</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城市重度及以上污染天数比率*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0.3</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7</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国省控断面地表水质量达到或优于</w:t>
            </w:r>
            <w:r>
              <w:rPr>
                <w:rFonts w:hint="eastAsia" w:ascii="宋体" w:hAnsi="宋体" w:eastAsia="宋体" w:cs="宋体"/>
                <w:bCs/>
                <w:kern w:val="0"/>
                <w:sz w:val="24"/>
                <w:szCs w:val="22"/>
              </w:rPr>
              <w:t>Ⅲ</w:t>
            </w:r>
            <w:r>
              <w:rPr>
                <w:rFonts w:eastAsia="仿宋"/>
                <w:bCs/>
                <w:kern w:val="0"/>
                <w:sz w:val="24"/>
                <w:szCs w:val="22"/>
              </w:rPr>
              <w:t>类水体比例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100</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8</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集中式饮用水水源达标率</w:t>
            </w:r>
            <w:r>
              <w:rPr>
                <w:rFonts w:eastAsia="仿宋"/>
                <w:bCs/>
                <w:kern w:val="0"/>
                <w:sz w:val="24"/>
                <w:szCs w:val="22"/>
                <w:vertAlign w:val="superscript"/>
              </w:rPr>
              <w:t>#</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63.6</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75</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9</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城市生活污水集中收集率</w:t>
            </w:r>
          </w:p>
        </w:tc>
        <w:tc>
          <w:tcPr>
            <w:tcW w:w="912"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w:t>
            </w:r>
          </w:p>
        </w:tc>
        <w:tc>
          <w:tcPr>
            <w:tcW w:w="1000" w:type="dxa"/>
            <w:vAlign w:val="center"/>
          </w:tcPr>
          <w:p>
            <w:pPr>
              <w:widowControl/>
              <w:adjustRightInd w:val="0"/>
              <w:snapToGrid w:val="0"/>
              <w:jc w:val="center"/>
              <w:rPr>
                <w:rFonts w:eastAsia="仿宋"/>
                <w:bCs/>
                <w:color w:val="000000" w:themeColor="text1"/>
                <w:kern w:val="0"/>
                <w:sz w:val="24"/>
                <w:szCs w:val="22"/>
              </w:rPr>
            </w:pPr>
            <w:r>
              <w:rPr>
                <w:rFonts w:hint="eastAsia" w:eastAsia="仿宋"/>
                <w:bCs/>
                <w:color w:val="000000" w:themeColor="text1"/>
                <w:kern w:val="0"/>
                <w:sz w:val="24"/>
                <w:szCs w:val="22"/>
              </w:rPr>
              <w:t>-</w:t>
            </w:r>
          </w:p>
        </w:tc>
        <w:tc>
          <w:tcPr>
            <w:tcW w:w="1325"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70</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0</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乡镇污水处理率</w:t>
            </w:r>
          </w:p>
        </w:tc>
        <w:tc>
          <w:tcPr>
            <w:tcW w:w="912"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w:t>
            </w:r>
          </w:p>
        </w:tc>
        <w:tc>
          <w:tcPr>
            <w:tcW w:w="1000" w:type="dxa"/>
            <w:vAlign w:val="center"/>
          </w:tcPr>
          <w:p>
            <w:pPr>
              <w:widowControl/>
              <w:adjustRightInd w:val="0"/>
              <w:snapToGrid w:val="0"/>
              <w:jc w:val="center"/>
              <w:rPr>
                <w:rFonts w:eastAsia="仿宋"/>
                <w:bCs/>
                <w:color w:val="000000" w:themeColor="text1"/>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color w:val="000000" w:themeColor="text1"/>
                <w:kern w:val="0"/>
                <w:sz w:val="24"/>
                <w:szCs w:val="22"/>
              </w:rPr>
            </w:pPr>
            <w:r>
              <w:rPr>
                <w:rFonts w:hint="eastAsia" w:eastAsia="仿宋"/>
                <w:bCs/>
                <w:color w:val="000000" w:themeColor="text1"/>
                <w:kern w:val="0"/>
                <w:sz w:val="24"/>
                <w:szCs w:val="22"/>
              </w:rPr>
              <w:t>85</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1</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农村生活污水治理率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70</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2</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氮氧化物排放量削减比例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3</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挥发性有机物排放量削减比例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4</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化学需氧量排放量削减比例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5</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氨氮排放量削减比例</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6</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color w:val="FF0000"/>
                <w:kern w:val="0"/>
                <w:sz w:val="24"/>
                <w:szCs w:val="22"/>
              </w:rPr>
            </w:pPr>
            <w:r>
              <w:rPr>
                <w:rFonts w:eastAsia="仿宋"/>
                <w:bCs/>
                <w:kern w:val="0"/>
                <w:sz w:val="24"/>
                <w:szCs w:val="22"/>
              </w:rPr>
              <w:t>重点行业重点重金属污染物排放量下降</w:t>
            </w:r>
            <w:r>
              <w:rPr>
                <w:rFonts w:hint="eastAsia" w:ascii="宋体" w:hAnsi="宋体" w:eastAsia="宋体" w:cs="宋体"/>
                <w:sz w:val="24"/>
                <w:szCs w:val="24"/>
                <w:vertAlign w:val="superscript"/>
              </w:rPr>
              <w:t>△</w:t>
            </w:r>
          </w:p>
        </w:tc>
        <w:tc>
          <w:tcPr>
            <w:tcW w:w="912" w:type="dxa"/>
            <w:vAlign w:val="center"/>
          </w:tcPr>
          <w:p>
            <w:pPr>
              <w:widowControl/>
              <w:adjustRightInd w:val="0"/>
              <w:snapToGrid w:val="0"/>
              <w:jc w:val="center"/>
              <w:rPr>
                <w:rFonts w:eastAsia="仿宋"/>
                <w:bCs/>
                <w:color w:val="FF0000"/>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color w:val="000000" w:themeColor="text1"/>
                <w:kern w:val="0"/>
                <w:sz w:val="24"/>
                <w:szCs w:val="22"/>
              </w:rPr>
            </w:pPr>
            <w:r>
              <w:rPr>
                <w:rFonts w:hint="eastAsia" w:eastAsia="仿宋"/>
                <w:bCs/>
                <w:color w:val="000000" w:themeColor="text1"/>
                <w:kern w:val="0"/>
                <w:sz w:val="24"/>
                <w:szCs w:val="22"/>
              </w:rPr>
              <w:t>-</w:t>
            </w:r>
          </w:p>
        </w:tc>
        <w:tc>
          <w:tcPr>
            <w:tcW w:w="1325" w:type="dxa"/>
            <w:vAlign w:val="center"/>
          </w:tcPr>
          <w:p>
            <w:pPr>
              <w:widowControl/>
              <w:adjustRightInd w:val="0"/>
              <w:snapToGrid w:val="0"/>
              <w:jc w:val="center"/>
              <w:rPr>
                <w:rFonts w:eastAsia="仿宋"/>
                <w:bCs/>
                <w:color w:val="000000" w:themeColor="text1"/>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color w:val="000000" w:themeColor="text1"/>
                <w:kern w:val="0"/>
                <w:sz w:val="24"/>
                <w:szCs w:val="22"/>
              </w:rPr>
            </w:pPr>
            <w:r>
              <w:rPr>
                <w:rFonts w:eastAsia="仿宋"/>
                <w:bCs/>
                <w:color w:val="000000" w:themeColor="text1"/>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7</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生态质量指数（新EI）</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稳中向好</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1</w:t>
            </w:r>
            <w:r>
              <w:rPr>
                <w:rFonts w:hint="eastAsia" w:eastAsia="仿宋"/>
                <w:bCs/>
                <w:kern w:val="0"/>
                <w:sz w:val="24"/>
                <w:szCs w:val="22"/>
              </w:rPr>
              <w:t>8</w:t>
            </w:r>
          </w:p>
        </w:tc>
        <w:tc>
          <w:tcPr>
            <w:tcW w:w="957" w:type="dxa"/>
            <w:vMerge w:val="restart"/>
            <w:vAlign w:val="center"/>
          </w:tcPr>
          <w:p>
            <w:pPr>
              <w:widowControl/>
              <w:adjustRightInd w:val="0"/>
              <w:snapToGrid w:val="0"/>
              <w:jc w:val="center"/>
              <w:rPr>
                <w:rFonts w:eastAsia="仿宋"/>
                <w:color w:val="0C0C0C"/>
                <w:kern w:val="0"/>
                <w:sz w:val="24"/>
                <w:szCs w:val="24"/>
              </w:rPr>
            </w:pPr>
            <w:r>
              <w:rPr>
                <w:rFonts w:eastAsia="仿宋"/>
                <w:color w:val="0C0C0C"/>
                <w:kern w:val="0"/>
                <w:sz w:val="24"/>
                <w:szCs w:val="24"/>
              </w:rPr>
              <w:t>生态</w:t>
            </w:r>
          </w:p>
          <w:p>
            <w:pPr>
              <w:widowControl/>
              <w:adjustRightInd w:val="0"/>
              <w:snapToGrid w:val="0"/>
              <w:jc w:val="center"/>
              <w:rPr>
                <w:rFonts w:eastAsia="仿宋"/>
                <w:color w:val="0C0C0C"/>
                <w:kern w:val="0"/>
                <w:sz w:val="24"/>
                <w:szCs w:val="24"/>
              </w:rPr>
            </w:pPr>
            <w:r>
              <w:rPr>
                <w:rFonts w:eastAsia="仿宋"/>
                <w:color w:val="0C0C0C"/>
                <w:kern w:val="0"/>
                <w:sz w:val="24"/>
                <w:szCs w:val="24"/>
              </w:rPr>
              <w:t>保护</w:t>
            </w: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森林覆盖率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26.21</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19</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生态保护红线占国土面积比例</w:t>
            </w:r>
            <w:r>
              <w:rPr>
                <w:rFonts w:ascii="Segoe UI Symbol" w:hAnsi="Segoe UI Symbol" w:eastAsia="仿宋" w:cs="Segoe UI Symbol"/>
                <w:sz w:val="24"/>
                <w:szCs w:val="24"/>
                <w:vertAlign w:val="superscript"/>
              </w:rPr>
              <w:t>☐</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22.59</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不降低</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r>
              <w:rPr>
                <w:rFonts w:hint="eastAsia" w:eastAsia="仿宋"/>
                <w:bCs/>
                <w:kern w:val="0"/>
                <w:sz w:val="24"/>
                <w:szCs w:val="22"/>
              </w:rPr>
              <w:t>0</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adjustRightInd w:val="0"/>
              <w:snapToGrid w:val="0"/>
              <w:jc w:val="center"/>
              <w:rPr>
                <w:rFonts w:eastAsia="仿宋"/>
                <w:bCs/>
                <w:kern w:val="0"/>
                <w:sz w:val="24"/>
                <w:szCs w:val="22"/>
              </w:rPr>
            </w:pPr>
            <w:r>
              <w:rPr>
                <w:rFonts w:eastAsia="仿宋"/>
                <w:bCs/>
                <w:kern w:val="0"/>
                <w:sz w:val="24"/>
                <w:szCs w:val="22"/>
              </w:rPr>
              <w:t>受污染耕地安全利用率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r>
              <w:rPr>
                <w:rFonts w:hint="eastAsia" w:eastAsia="仿宋"/>
                <w:bCs/>
                <w:kern w:val="0"/>
                <w:sz w:val="24"/>
                <w:szCs w:val="22"/>
              </w:rPr>
              <w:t>1</w:t>
            </w:r>
          </w:p>
        </w:tc>
        <w:tc>
          <w:tcPr>
            <w:tcW w:w="957" w:type="dxa"/>
            <w:vMerge w:val="restart"/>
            <w:vAlign w:val="center"/>
          </w:tcPr>
          <w:p>
            <w:pPr>
              <w:widowControl/>
              <w:adjustRightInd w:val="0"/>
              <w:snapToGrid w:val="0"/>
              <w:jc w:val="center"/>
              <w:rPr>
                <w:rFonts w:eastAsia="仿宋"/>
                <w:color w:val="0C0C0C"/>
                <w:kern w:val="0"/>
                <w:sz w:val="24"/>
                <w:szCs w:val="24"/>
              </w:rPr>
            </w:pPr>
            <w:r>
              <w:rPr>
                <w:rFonts w:eastAsia="仿宋"/>
                <w:color w:val="0C0C0C"/>
                <w:kern w:val="0"/>
                <w:sz w:val="24"/>
                <w:szCs w:val="24"/>
              </w:rPr>
              <w:t>环境风险防控</w:t>
            </w:r>
          </w:p>
        </w:tc>
        <w:tc>
          <w:tcPr>
            <w:tcW w:w="2918" w:type="dxa"/>
            <w:vAlign w:val="center"/>
          </w:tcPr>
          <w:p>
            <w:pPr>
              <w:adjustRightInd w:val="0"/>
              <w:snapToGrid w:val="0"/>
              <w:jc w:val="center"/>
              <w:rPr>
                <w:rFonts w:eastAsia="仿宋"/>
                <w:bCs/>
                <w:kern w:val="0"/>
                <w:sz w:val="24"/>
                <w:szCs w:val="22"/>
              </w:rPr>
            </w:pPr>
            <w:r>
              <w:rPr>
                <w:rFonts w:eastAsia="仿宋"/>
                <w:bCs/>
                <w:kern w:val="0"/>
                <w:sz w:val="24"/>
                <w:szCs w:val="22"/>
              </w:rPr>
              <w:t>重点建设用地土壤污染风险管控率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hint="eastAsia" w:eastAsia="仿宋"/>
                <w:bCs/>
                <w:kern w:val="0"/>
                <w:sz w:val="24"/>
                <w:szCs w:val="22"/>
              </w:rPr>
              <w:t>-</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完成</w:t>
            </w:r>
            <w:r>
              <w:rPr>
                <w:rFonts w:hint="eastAsia" w:eastAsia="仿宋"/>
                <w:bCs/>
                <w:kern w:val="0"/>
                <w:sz w:val="24"/>
                <w:szCs w:val="22"/>
              </w:rPr>
              <w:t>市</w:t>
            </w:r>
            <w:r>
              <w:rPr>
                <w:rFonts w:eastAsia="仿宋"/>
                <w:bCs/>
                <w:kern w:val="0"/>
                <w:sz w:val="24"/>
                <w:szCs w:val="22"/>
              </w:rPr>
              <w:t>定目标</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r>
              <w:rPr>
                <w:rFonts w:hint="eastAsia" w:eastAsia="仿宋"/>
                <w:bCs/>
                <w:kern w:val="0"/>
                <w:sz w:val="24"/>
                <w:szCs w:val="22"/>
              </w:rPr>
              <w:t>2</w:t>
            </w:r>
          </w:p>
        </w:tc>
        <w:tc>
          <w:tcPr>
            <w:tcW w:w="957" w:type="dxa"/>
            <w:vMerge w:val="continue"/>
            <w:vAlign w:val="center"/>
          </w:tcPr>
          <w:p>
            <w:pPr>
              <w:widowControl/>
              <w:adjustRightInd w:val="0"/>
              <w:snapToGrid w:val="0"/>
              <w:jc w:val="center"/>
              <w:rPr>
                <w:rFonts w:eastAsia="仿宋"/>
                <w:color w:val="0C0C0C"/>
                <w:kern w:val="0"/>
                <w:sz w:val="24"/>
                <w:szCs w:val="24"/>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县级以上医疗废物无害化处置率</w:t>
            </w:r>
          </w:p>
        </w:tc>
        <w:tc>
          <w:tcPr>
            <w:tcW w:w="912" w:type="dxa"/>
            <w:vAlign w:val="center"/>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vAlign w:val="center"/>
          </w:tcPr>
          <w:p>
            <w:pPr>
              <w:widowControl/>
              <w:adjustRightInd w:val="0"/>
              <w:snapToGrid w:val="0"/>
              <w:jc w:val="center"/>
              <w:rPr>
                <w:rFonts w:eastAsia="仿宋"/>
                <w:bCs/>
                <w:kern w:val="0"/>
                <w:sz w:val="24"/>
                <w:szCs w:val="22"/>
              </w:rPr>
            </w:pPr>
            <w:r>
              <w:rPr>
                <w:rFonts w:eastAsia="仿宋"/>
                <w:bCs/>
                <w:kern w:val="0"/>
                <w:sz w:val="24"/>
                <w:szCs w:val="22"/>
              </w:rPr>
              <w:t>100</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100</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80" w:type="dxa"/>
            <w:vAlign w:val="center"/>
          </w:tcPr>
          <w:p>
            <w:pPr>
              <w:widowControl/>
              <w:adjustRightInd w:val="0"/>
              <w:snapToGrid w:val="0"/>
              <w:jc w:val="center"/>
              <w:rPr>
                <w:rFonts w:eastAsia="仿宋"/>
                <w:bCs/>
                <w:kern w:val="0"/>
                <w:sz w:val="24"/>
                <w:szCs w:val="22"/>
              </w:rPr>
            </w:pPr>
            <w:r>
              <w:rPr>
                <w:rFonts w:eastAsia="仿宋"/>
                <w:bCs/>
                <w:kern w:val="0"/>
                <w:sz w:val="24"/>
                <w:szCs w:val="22"/>
              </w:rPr>
              <w:t>2</w:t>
            </w:r>
            <w:r>
              <w:rPr>
                <w:rFonts w:hint="eastAsia" w:eastAsia="仿宋"/>
                <w:bCs/>
                <w:kern w:val="0"/>
                <w:sz w:val="24"/>
                <w:szCs w:val="22"/>
              </w:rPr>
              <w:t>3</w:t>
            </w:r>
          </w:p>
        </w:tc>
        <w:tc>
          <w:tcPr>
            <w:tcW w:w="957" w:type="dxa"/>
            <w:vMerge w:val="continue"/>
            <w:vAlign w:val="center"/>
          </w:tcPr>
          <w:p>
            <w:pPr>
              <w:widowControl/>
              <w:adjustRightInd w:val="0"/>
              <w:snapToGrid w:val="0"/>
              <w:jc w:val="center"/>
              <w:rPr>
                <w:rFonts w:eastAsia="仿宋"/>
                <w:color w:val="0C0C0C"/>
                <w:kern w:val="0"/>
                <w:szCs w:val="32"/>
              </w:rPr>
            </w:pPr>
          </w:p>
        </w:tc>
        <w:tc>
          <w:tcPr>
            <w:tcW w:w="2918" w:type="dxa"/>
            <w:vAlign w:val="center"/>
          </w:tcPr>
          <w:p>
            <w:pPr>
              <w:widowControl/>
              <w:adjustRightInd w:val="0"/>
              <w:snapToGrid w:val="0"/>
              <w:jc w:val="center"/>
              <w:rPr>
                <w:rFonts w:eastAsia="仿宋"/>
                <w:bCs/>
                <w:kern w:val="0"/>
                <w:sz w:val="24"/>
                <w:szCs w:val="22"/>
              </w:rPr>
            </w:pPr>
            <w:r>
              <w:rPr>
                <w:rFonts w:eastAsia="仿宋"/>
                <w:bCs/>
                <w:kern w:val="0"/>
                <w:sz w:val="24"/>
                <w:szCs w:val="22"/>
              </w:rPr>
              <w:t>工业危险废物利用处置率</w:t>
            </w:r>
          </w:p>
        </w:tc>
        <w:tc>
          <w:tcPr>
            <w:tcW w:w="912" w:type="dxa"/>
          </w:tcPr>
          <w:p>
            <w:pPr>
              <w:widowControl/>
              <w:adjustRightInd w:val="0"/>
              <w:snapToGrid w:val="0"/>
              <w:jc w:val="center"/>
              <w:rPr>
                <w:rFonts w:eastAsia="仿宋"/>
                <w:bCs/>
                <w:kern w:val="0"/>
                <w:sz w:val="24"/>
                <w:szCs w:val="22"/>
              </w:rPr>
            </w:pPr>
            <w:r>
              <w:rPr>
                <w:rFonts w:eastAsia="仿宋"/>
                <w:bCs/>
                <w:kern w:val="0"/>
                <w:sz w:val="24"/>
                <w:szCs w:val="22"/>
              </w:rPr>
              <w:t>%</w:t>
            </w:r>
          </w:p>
        </w:tc>
        <w:tc>
          <w:tcPr>
            <w:tcW w:w="1000" w:type="dxa"/>
          </w:tcPr>
          <w:p>
            <w:pPr>
              <w:widowControl/>
              <w:adjustRightInd w:val="0"/>
              <w:snapToGrid w:val="0"/>
              <w:jc w:val="center"/>
              <w:rPr>
                <w:rFonts w:eastAsia="仿宋"/>
                <w:bCs/>
                <w:kern w:val="0"/>
                <w:sz w:val="24"/>
                <w:szCs w:val="22"/>
              </w:rPr>
            </w:pPr>
            <w:r>
              <w:rPr>
                <w:rFonts w:eastAsia="仿宋"/>
                <w:bCs/>
                <w:kern w:val="0"/>
                <w:sz w:val="24"/>
                <w:szCs w:val="22"/>
              </w:rPr>
              <w:t>100</w:t>
            </w:r>
          </w:p>
        </w:tc>
        <w:tc>
          <w:tcPr>
            <w:tcW w:w="1325" w:type="dxa"/>
            <w:vAlign w:val="center"/>
          </w:tcPr>
          <w:p>
            <w:pPr>
              <w:widowControl/>
              <w:adjustRightInd w:val="0"/>
              <w:snapToGrid w:val="0"/>
              <w:jc w:val="center"/>
              <w:rPr>
                <w:rFonts w:eastAsia="仿宋"/>
                <w:bCs/>
                <w:kern w:val="0"/>
                <w:sz w:val="24"/>
                <w:szCs w:val="22"/>
              </w:rPr>
            </w:pPr>
            <w:r>
              <w:rPr>
                <w:rFonts w:eastAsia="仿宋"/>
                <w:bCs/>
                <w:kern w:val="0"/>
                <w:sz w:val="24"/>
                <w:szCs w:val="22"/>
              </w:rPr>
              <w:t>100</w:t>
            </w:r>
          </w:p>
        </w:tc>
        <w:tc>
          <w:tcPr>
            <w:tcW w:w="951" w:type="dxa"/>
            <w:vAlign w:val="center"/>
          </w:tcPr>
          <w:p>
            <w:pPr>
              <w:widowControl/>
              <w:adjustRightInd w:val="0"/>
              <w:snapToGrid w:val="0"/>
              <w:jc w:val="center"/>
              <w:rPr>
                <w:rFonts w:eastAsia="仿宋"/>
                <w:bCs/>
                <w:kern w:val="0"/>
                <w:sz w:val="24"/>
                <w:szCs w:val="22"/>
              </w:rPr>
            </w:pPr>
            <w:r>
              <w:rPr>
                <w:rFonts w:eastAsia="仿宋"/>
                <w:bCs/>
                <w:kern w:val="0"/>
                <w:sz w:val="24"/>
                <w:szCs w:val="22"/>
              </w:rPr>
              <w:t>预期性</w:t>
            </w:r>
          </w:p>
        </w:tc>
      </w:tr>
    </w:tbl>
    <w:p>
      <w:pPr>
        <w:pStyle w:val="27"/>
        <w:snapToGrid w:val="0"/>
        <w:spacing w:line="280" w:lineRule="exact"/>
        <w:ind w:left="718" w:hanging="717" w:hangingChars="299"/>
        <w:rPr>
          <w:rFonts w:ascii="Times New Roman" w:hAnsi="Times New Roman" w:eastAsia="仿宋"/>
          <w:color w:val="000000" w:themeColor="text1"/>
        </w:rPr>
      </w:pPr>
      <w:r>
        <w:rPr>
          <w:rFonts w:ascii="Times New Roman" w:hAnsi="Times New Roman" w:eastAsia="仿宋"/>
          <w:color w:val="000000" w:themeColor="text1"/>
        </w:rPr>
        <w:t>备注：1、2020年</w:t>
      </w:r>
      <w:r>
        <w:rPr>
          <w:rFonts w:ascii="Times New Roman" w:hAnsi="Times New Roman" w:eastAsia="仿宋"/>
          <w:bCs/>
          <w:szCs w:val="22"/>
        </w:rPr>
        <w:t>国省控断面地表水质量达到或优于</w:t>
      </w:r>
      <w:r>
        <w:rPr>
          <w:rFonts w:hint="eastAsia" w:hAnsi="宋体" w:cs="宋体"/>
          <w:bCs/>
          <w:szCs w:val="22"/>
        </w:rPr>
        <w:t>Ⅲ</w:t>
      </w:r>
      <w:r>
        <w:rPr>
          <w:rFonts w:ascii="Times New Roman" w:hAnsi="Times New Roman" w:eastAsia="仿宋"/>
          <w:bCs/>
          <w:szCs w:val="22"/>
        </w:rPr>
        <w:t>类水体比例</w:t>
      </w:r>
      <w:r>
        <w:rPr>
          <w:rFonts w:ascii="Times New Roman" w:hAnsi="Times New Roman" w:eastAsia="仿宋"/>
          <w:color w:val="000000" w:themeColor="text1"/>
        </w:rPr>
        <w:t>现状值按照“十三五”水环境质量考核国省断面（25个）计算，2025年目标值按照“十四五”水环境质量考核国省控断面（33个）计算。</w:t>
      </w:r>
    </w:p>
    <w:p>
      <w:pPr>
        <w:pStyle w:val="27"/>
        <w:snapToGrid w:val="0"/>
        <w:spacing w:line="280" w:lineRule="exact"/>
        <w:ind w:left="720" w:leftChars="225"/>
        <w:rPr>
          <w:rFonts w:ascii="Times New Roman" w:hAnsi="Times New Roman" w:eastAsia="仿宋"/>
          <w:color w:val="000000" w:themeColor="text1"/>
        </w:rPr>
      </w:pPr>
      <w:r>
        <w:rPr>
          <w:rFonts w:ascii="Times New Roman" w:hAnsi="Times New Roman" w:eastAsia="仿宋"/>
          <w:color w:val="000000" w:themeColor="text1"/>
        </w:rPr>
        <w:t>2、</w:t>
      </w:r>
      <w:r>
        <w:rPr>
          <w:rFonts w:ascii="Times New Roman" w:hAnsi="Times New Roman" w:eastAsia="仿宋"/>
        </w:rPr>
        <w:t>*表示：</w:t>
      </w:r>
      <w:r>
        <w:rPr>
          <w:rFonts w:ascii="Times New Roman" w:hAnsi="Times New Roman" w:eastAsia="仿宋"/>
          <w:color w:val="000000" w:themeColor="text1"/>
        </w:rPr>
        <w:t>2020年PM</w:t>
      </w:r>
      <w:r>
        <w:rPr>
          <w:rFonts w:ascii="Times New Roman" w:hAnsi="Times New Roman" w:eastAsia="仿宋"/>
          <w:color w:val="000000" w:themeColor="text1"/>
          <w:vertAlign w:val="subscript"/>
        </w:rPr>
        <w:t>2.5</w:t>
      </w:r>
      <w:r>
        <w:rPr>
          <w:rFonts w:ascii="Times New Roman" w:hAnsi="Times New Roman" w:eastAsia="仿宋"/>
          <w:color w:val="000000" w:themeColor="text1"/>
        </w:rPr>
        <w:t>浓度、空气质量优良天数比例等指标值受新冠肺炎疫情等因素影响，明显好于正常年份。</w:t>
      </w:r>
    </w:p>
    <w:p>
      <w:pPr>
        <w:pStyle w:val="27"/>
        <w:snapToGrid w:val="0"/>
        <w:spacing w:line="280" w:lineRule="exact"/>
        <w:ind w:left="720" w:leftChars="225"/>
        <w:rPr>
          <w:rFonts w:ascii="Times New Roman" w:hAnsi="Times New Roman" w:eastAsia="仿宋"/>
        </w:rPr>
      </w:pPr>
      <w:r>
        <w:rPr>
          <w:rFonts w:ascii="Times New Roman" w:hAnsi="Times New Roman" w:eastAsia="仿宋"/>
          <w:bCs/>
          <w:szCs w:val="22"/>
        </w:rPr>
        <w:t>3、#表示：部分水源地为</w:t>
      </w:r>
      <w:r>
        <w:rPr>
          <w:rFonts w:ascii="Times New Roman" w:hAnsi="Times New Roman" w:eastAsia="仿宋"/>
        </w:rPr>
        <w:t>地下水，由于铁、锰本底值超标，目前地下水水源地无法达标；但随着城乡一体化供水的完成，水源地达标率随之提升。</w:t>
      </w:r>
    </w:p>
    <w:p>
      <w:pPr>
        <w:pStyle w:val="27"/>
        <w:snapToGrid w:val="0"/>
        <w:spacing w:line="280" w:lineRule="exact"/>
        <w:ind w:left="720" w:leftChars="225"/>
        <w:rPr>
          <w:rFonts w:ascii="Times New Roman" w:hAnsi="Times New Roman" w:eastAsia="仿宋"/>
          <w:bCs/>
          <w:szCs w:val="22"/>
        </w:rPr>
      </w:pPr>
      <w:r>
        <w:rPr>
          <w:rFonts w:ascii="Times New Roman" w:hAnsi="Times New Roman" w:eastAsia="仿宋"/>
        </w:rPr>
        <w:t>4、</w:t>
      </w:r>
      <w:r>
        <w:rPr>
          <w:rFonts w:hint="eastAsia" w:hAnsi="宋体" w:cs="宋体"/>
        </w:rPr>
        <w:t>△</w:t>
      </w:r>
      <w:r>
        <w:rPr>
          <w:rFonts w:ascii="Times New Roman" w:hAnsi="Times New Roman" w:eastAsia="仿宋"/>
        </w:rPr>
        <w:t>表示：</w:t>
      </w:r>
      <w:r>
        <w:rPr>
          <w:rFonts w:ascii="Times New Roman" w:hAnsi="Times New Roman" w:eastAsia="仿宋"/>
          <w:bCs/>
          <w:szCs w:val="22"/>
        </w:rPr>
        <w:t>重金属污染物排放量下降基准年是2013年。</w:t>
      </w:r>
    </w:p>
    <w:p>
      <w:pPr>
        <w:pStyle w:val="27"/>
        <w:tabs>
          <w:tab w:val="left" w:pos="640"/>
        </w:tabs>
        <w:snapToGrid w:val="0"/>
        <w:spacing w:line="280" w:lineRule="exact"/>
        <w:ind w:left="717" w:leftChars="224"/>
        <w:jc w:val="both"/>
        <w:rPr>
          <w:rFonts w:ascii="Times New Roman" w:hAnsi="Times New Roman" w:eastAsia="仿宋"/>
          <w:color w:val="000000" w:themeColor="text1"/>
        </w:rPr>
      </w:pPr>
    </w:p>
    <w:p>
      <w:pPr>
        <w:pStyle w:val="27"/>
        <w:spacing w:line="590" w:lineRule="exact"/>
        <w:rPr>
          <w:rFonts w:ascii="Times New Roman" w:hAnsi="Times New Roman"/>
          <w:sz w:val="32"/>
          <w:szCs w:val="32"/>
        </w:rPr>
      </w:pPr>
      <w:r>
        <w:rPr>
          <w:rFonts w:ascii="Times New Roman" w:hAnsi="Times New Roman"/>
          <w:sz w:val="32"/>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15" w:name="_Toc98755253"/>
      <w:r>
        <w:rPr>
          <w:rFonts w:ascii="Times New Roman" w:hAnsi="Times New Roman" w:eastAsia="黑体" w:cs="Times New Roman"/>
          <w:b w:val="0"/>
          <w:bCs w:val="0"/>
          <w:color w:val="000000" w:themeColor="text1"/>
        </w:rPr>
        <w:t>三、加强源头治理，助推绿色发展</w:t>
      </w:r>
      <w:bookmarkEnd w:id="15"/>
    </w:p>
    <w:p>
      <w:pPr>
        <w:spacing w:line="590" w:lineRule="exact"/>
        <w:ind w:firstLine="643" w:firstLineChars="200"/>
        <w:outlineLvl w:val="1"/>
        <w:rPr>
          <w:rFonts w:eastAsia="楷体"/>
          <w:b/>
          <w:bCs/>
          <w:szCs w:val="32"/>
        </w:rPr>
      </w:pPr>
      <w:bookmarkStart w:id="16" w:name="_Toc15309"/>
      <w:bookmarkStart w:id="17" w:name="_Toc98755254"/>
      <w:r>
        <w:rPr>
          <w:rFonts w:eastAsia="楷体"/>
          <w:b/>
          <w:bCs/>
          <w:szCs w:val="32"/>
        </w:rPr>
        <w:t>（一）</w:t>
      </w:r>
      <w:bookmarkEnd w:id="16"/>
      <w:r>
        <w:rPr>
          <w:rFonts w:eastAsia="楷体"/>
          <w:b/>
          <w:bCs/>
          <w:szCs w:val="32"/>
        </w:rPr>
        <w:t>推进产业结构调整</w:t>
      </w:r>
      <w:bookmarkEnd w:id="17"/>
    </w:p>
    <w:p>
      <w:pPr>
        <w:spacing w:line="590" w:lineRule="exact"/>
        <w:ind w:firstLine="640" w:firstLineChars="200"/>
        <w:rPr>
          <w:rFonts w:eastAsia="仿宋"/>
          <w:szCs w:val="32"/>
        </w:rPr>
      </w:pPr>
      <w:r>
        <w:rPr>
          <w:rFonts w:eastAsia="仿宋"/>
          <w:szCs w:val="32"/>
        </w:rPr>
        <w:t>合理规划、明确工业园区定位，</w:t>
      </w:r>
      <w:r>
        <w:rPr>
          <w:rFonts w:hint="eastAsia" w:eastAsia="仿宋"/>
          <w:szCs w:val="32"/>
        </w:rPr>
        <w:t>依托现有产业基础，主攻印制线路板、新材料等，</w:t>
      </w:r>
      <w:r>
        <w:rPr>
          <w:rFonts w:eastAsia="仿宋"/>
          <w:szCs w:val="32"/>
        </w:rPr>
        <w:t>强化工业园区和产业集群升级改造</w:t>
      </w:r>
      <w:r>
        <w:rPr>
          <w:rFonts w:hint="eastAsia" w:eastAsia="仿宋"/>
          <w:szCs w:val="32"/>
        </w:rPr>
        <w:t>。</w:t>
      </w:r>
      <w:r>
        <w:rPr>
          <w:rFonts w:eastAsia="仿宋"/>
          <w:szCs w:val="32"/>
        </w:rPr>
        <w:t>按照“一园一策”“一行一策”，强化清洁生产要求，制定综合整治方案，积极推进重点行业清洁生产和污染治理，全面</w:t>
      </w:r>
      <w:r>
        <w:rPr>
          <w:rFonts w:eastAsia="仿宋"/>
          <w:bCs/>
          <w:color w:val="000000"/>
          <w:kern w:val="0"/>
          <w:szCs w:val="32"/>
        </w:rPr>
        <w:t>提高产业集约化、绿色化发展水平</w:t>
      </w:r>
      <w:r>
        <w:rPr>
          <w:rFonts w:eastAsia="仿宋"/>
          <w:szCs w:val="32"/>
        </w:rPr>
        <w:t>。</w:t>
      </w:r>
    </w:p>
    <w:p>
      <w:pPr>
        <w:spacing w:line="590" w:lineRule="exact"/>
        <w:ind w:firstLine="643" w:firstLineChars="200"/>
        <w:outlineLvl w:val="1"/>
        <w:rPr>
          <w:rFonts w:eastAsia="楷体"/>
          <w:b/>
          <w:bCs/>
          <w:szCs w:val="32"/>
        </w:rPr>
      </w:pPr>
      <w:bookmarkStart w:id="18" w:name="_Toc98755255"/>
      <w:r>
        <w:rPr>
          <w:rFonts w:eastAsia="楷体"/>
          <w:b/>
          <w:bCs/>
          <w:szCs w:val="32"/>
        </w:rPr>
        <w:t>（二）推进能源结构调整</w:t>
      </w:r>
      <w:bookmarkEnd w:id="18"/>
    </w:p>
    <w:p>
      <w:pPr>
        <w:spacing w:line="590" w:lineRule="exact"/>
        <w:ind w:firstLine="643" w:firstLineChars="200"/>
        <w:rPr>
          <w:szCs w:val="32"/>
        </w:rPr>
      </w:pPr>
      <w:r>
        <w:rPr>
          <w:b/>
          <w:bCs/>
          <w:szCs w:val="32"/>
        </w:rPr>
        <w:t>严格控制煤炭消费。</w:t>
      </w:r>
      <w:r>
        <w:rPr>
          <w:rFonts w:hint="eastAsia" w:eastAsia="仿宋"/>
          <w:szCs w:val="32"/>
        </w:rPr>
        <w:t>在工业、交通领域推进“以电代煤”“以电代油”，提高电力煤炭消费占煤炭消费总量比重，达到全市目标要求。</w:t>
      </w:r>
    </w:p>
    <w:p>
      <w:pPr>
        <w:widowControl/>
        <w:ind w:firstLine="643" w:firstLineChars="200"/>
        <w:jc w:val="left"/>
      </w:pPr>
      <w:r>
        <w:rPr>
          <w:b/>
          <w:bCs/>
          <w:szCs w:val="32"/>
        </w:rPr>
        <w:t>大力发展清洁能源。</w:t>
      </w:r>
      <w:r>
        <w:rPr>
          <w:rFonts w:hint="eastAsia" w:eastAsia="仿宋"/>
          <w:szCs w:val="32"/>
        </w:rPr>
        <w:t>提高新能源和可再生能源比重，在保护好生态环境前提下有序发展生物质能源、太阳能等非化石能源。</w:t>
      </w:r>
      <w:r>
        <w:rPr>
          <w:rFonts w:eastAsia="仿宋"/>
          <w:color w:val="000000"/>
          <w:kern w:val="0"/>
          <w:sz w:val="31"/>
          <w:szCs w:val="31"/>
        </w:rPr>
        <w:t>大力发展光伏发电，因地制宜建设一批渔光互补、屋顶分布</w:t>
      </w:r>
      <w:r>
        <w:rPr>
          <w:rFonts w:eastAsia="仿宋"/>
          <w:szCs w:val="32"/>
        </w:rPr>
        <w:t>式光伏、户用光伏发电等</w:t>
      </w:r>
      <w:r>
        <w:rPr>
          <w:rFonts w:eastAsia="仿宋"/>
          <w:color w:val="000000"/>
          <w:kern w:val="0"/>
          <w:sz w:val="31"/>
          <w:szCs w:val="31"/>
        </w:rPr>
        <w:t>多模式光伏发电项目</w:t>
      </w:r>
      <w:r>
        <w:rPr>
          <w:rFonts w:eastAsia="仿宋"/>
          <w:szCs w:val="32"/>
        </w:rPr>
        <w:t>。</w:t>
      </w:r>
      <w:r>
        <w:rPr>
          <w:rFonts w:hint="eastAsia" w:eastAsia="仿宋"/>
          <w:szCs w:val="32"/>
        </w:rPr>
        <w:t>加快天然气基础设施建设和互联互通，加快液化天然气推广应用。</w:t>
      </w:r>
    </w:p>
    <w:p>
      <w:pPr>
        <w:spacing w:line="590" w:lineRule="exact"/>
        <w:ind w:firstLine="643" w:firstLineChars="200"/>
        <w:outlineLvl w:val="1"/>
        <w:rPr>
          <w:rFonts w:eastAsia="楷体"/>
          <w:b/>
          <w:bCs/>
          <w:szCs w:val="32"/>
        </w:rPr>
      </w:pPr>
      <w:bookmarkStart w:id="19" w:name="_Toc98755256"/>
      <w:r>
        <w:rPr>
          <w:rFonts w:eastAsia="楷体"/>
          <w:b/>
          <w:bCs/>
          <w:szCs w:val="32"/>
        </w:rPr>
        <w:t>（三）推进运输结构调整</w:t>
      </w:r>
      <w:bookmarkEnd w:id="19"/>
    </w:p>
    <w:p>
      <w:pPr>
        <w:pStyle w:val="28"/>
        <w:spacing w:line="590" w:lineRule="exact"/>
        <w:ind w:firstLine="640"/>
        <w:rPr>
          <w:sz w:val="32"/>
          <w:szCs w:val="32"/>
        </w:rPr>
      </w:pPr>
      <w:r>
        <w:rPr>
          <w:rFonts w:hint="eastAsia"/>
          <w:sz w:val="32"/>
          <w:szCs w:val="32"/>
        </w:rPr>
        <w:t>加快综合交通运输体系建设，全面铺开建设新能源公交体系，推进公共机构以合同能源管理方式实施节能改造。</w:t>
      </w:r>
      <w:r>
        <w:rPr>
          <w:sz w:val="32"/>
          <w:szCs w:val="32"/>
        </w:rPr>
        <w:t>以公交车、公用车、公务车等公共服务领域为突破口，推广应用新能源汽车，积极引导社会车辆推广应用。新增或更新的公务车、邮政车、巡逻车</w:t>
      </w:r>
      <w:r>
        <w:rPr>
          <w:rFonts w:hint="eastAsia"/>
          <w:sz w:val="32"/>
          <w:szCs w:val="32"/>
        </w:rPr>
        <w:t>、</w:t>
      </w:r>
      <w:r>
        <w:rPr>
          <w:sz w:val="32"/>
          <w:szCs w:val="32"/>
        </w:rPr>
        <w:t>环卫车</w:t>
      </w:r>
      <w:r>
        <w:rPr>
          <w:rFonts w:hint="eastAsia"/>
          <w:sz w:val="32"/>
          <w:szCs w:val="32"/>
        </w:rPr>
        <w:t>、公交车</w:t>
      </w:r>
      <w:r>
        <w:rPr>
          <w:sz w:val="32"/>
          <w:szCs w:val="32"/>
        </w:rPr>
        <w:t>中，新能源汽车比例</w:t>
      </w:r>
      <w:r>
        <w:rPr>
          <w:rFonts w:hint="eastAsia"/>
          <w:sz w:val="32"/>
          <w:szCs w:val="32"/>
        </w:rPr>
        <w:t>达到全市目标要求</w:t>
      </w:r>
      <w:r>
        <w:rPr>
          <w:sz w:val="32"/>
          <w:szCs w:val="32"/>
        </w:rPr>
        <w:t>。</w:t>
      </w:r>
    </w:p>
    <w:p>
      <w:pPr>
        <w:spacing w:line="590" w:lineRule="exact"/>
        <w:ind w:firstLine="643" w:firstLineChars="200"/>
        <w:outlineLvl w:val="1"/>
        <w:rPr>
          <w:rFonts w:eastAsia="楷体"/>
          <w:b/>
          <w:bCs/>
          <w:szCs w:val="32"/>
        </w:rPr>
      </w:pPr>
      <w:bookmarkStart w:id="20" w:name="_Toc98755257"/>
      <w:r>
        <w:rPr>
          <w:rFonts w:eastAsia="楷体"/>
          <w:b/>
          <w:bCs/>
          <w:szCs w:val="32"/>
        </w:rPr>
        <w:t>（四）推进农业结构调整</w:t>
      </w:r>
      <w:bookmarkEnd w:id="20"/>
    </w:p>
    <w:p>
      <w:pPr>
        <w:spacing w:line="590" w:lineRule="exact"/>
        <w:ind w:firstLine="640" w:firstLineChars="200"/>
        <w:rPr>
          <w:rFonts w:eastAsia="仿宋"/>
          <w:color w:val="000000" w:themeColor="text1"/>
          <w:szCs w:val="32"/>
        </w:rPr>
      </w:pPr>
      <w:r>
        <w:rPr>
          <w:rFonts w:eastAsia="仿宋"/>
          <w:color w:val="000000" w:themeColor="text1"/>
          <w:szCs w:val="32"/>
        </w:rPr>
        <w:t>推动测土配方施肥、有机肥替代、统防统治和绿色防控等化肥农药减量技术与模式。进一步优化调整养殖业布局，严格落实禁养区、限养区各项规定，根据土地承载能力合理确定养殖规模，推进种养业协调发展。推动养殖业减量用药，规范兽药、饲料添加剂使用。</w:t>
      </w:r>
    </w:p>
    <w:p>
      <w:pPr>
        <w:spacing w:line="590" w:lineRule="exact"/>
        <w:ind w:firstLine="643" w:firstLineChars="200"/>
        <w:outlineLvl w:val="1"/>
        <w:rPr>
          <w:rFonts w:eastAsia="楷体"/>
          <w:b/>
          <w:bCs/>
          <w:szCs w:val="32"/>
        </w:rPr>
      </w:pPr>
      <w:bookmarkStart w:id="21" w:name="_Toc98755258"/>
      <w:r>
        <w:rPr>
          <w:rFonts w:eastAsia="楷体"/>
          <w:b/>
          <w:bCs/>
          <w:szCs w:val="32"/>
        </w:rPr>
        <w:t>（五）强化环境准入与管控</w:t>
      </w:r>
      <w:bookmarkEnd w:id="21"/>
    </w:p>
    <w:p>
      <w:pPr>
        <w:spacing w:line="590" w:lineRule="exact"/>
        <w:ind w:firstLine="643" w:firstLineChars="200"/>
        <w:rPr>
          <w:rFonts w:eastAsia="仿宋"/>
          <w:b/>
          <w:bCs/>
          <w:color w:val="000000" w:themeColor="text1"/>
          <w:szCs w:val="32"/>
        </w:rPr>
      </w:pPr>
      <w:r>
        <w:rPr>
          <w:rFonts w:hint="eastAsia" w:eastAsia="仿宋"/>
          <w:b/>
          <w:bCs/>
          <w:color w:val="000000" w:themeColor="text1"/>
          <w:szCs w:val="32"/>
        </w:rPr>
        <w:t>强化生态环境分区管控</w:t>
      </w:r>
      <w:r>
        <w:rPr>
          <w:rFonts w:eastAsia="仿宋"/>
          <w:b/>
          <w:bCs/>
          <w:color w:val="000000" w:themeColor="text1"/>
          <w:szCs w:val="32"/>
        </w:rPr>
        <w:t>。</w:t>
      </w:r>
      <w:r>
        <w:rPr>
          <w:rFonts w:eastAsia="仿宋"/>
          <w:color w:val="000000" w:themeColor="text1"/>
          <w:szCs w:val="32"/>
        </w:rPr>
        <w:t>实施“三线一单”，建立生态环境分区管控</w:t>
      </w:r>
      <w:r>
        <w:rPr>
          <w:rFonts w:hint="eastAsia" w:eastAsia="仿宋"/>
          <w:color w:val="000000" w:themeColor="text1"/>
          <w:szCs w:val="32"/>
        </w:rPr>
        <w:t>，按“优先保护、重点管控和一般管控”要求对全区环境管控单元实施分类管控，完善“三线一单”生态环境分区管控体系，建立动态更新调整机制。强化“三线一单”在政策制定、环境准入、园区管理、执法监管等方面的应用，规范开发建设活动。健全以环评制度为主体的源头预防体系，落实相关行业环评审批原则和准入条件，强化环评在重点领域重点行业源头预防的效力。</w:t>
      </w:r>
    </w:p>
    <w:p>
      <w:pPr>
        <w:widowControl/>
        <w:adjustRightInd w:val="0"/>
        <w:snapToGrid w:val="0"/>
        <w:spacing w:line="590" w:lineRule="exact"/>
        <w:ind w:firstLine="643" w:firstLineChars="200"/>
        <w:jc w:val="left"/>
        <w:rPr>
          <w:color w:val="000000"/>
          <w:kern w:val="0"/>
          <w:szCs w:val="32"/>
        </w:rPr>
      </w:pPr>
      <w:r>
        <w:rPr>
          <w:rFonts w:eastAsia="仿宋"/>
          <w:b/>
          <w:bCs/>
          <w:color w:val="000000" w:themeColor="text1"/>
          <w:szCs w:val="32"/>
        </w:rPr>
        <w:t>全面实行排污许可制度。</w:t>
      </w:r>
      <w:r>
        <w:rPr>
          <w:rFonts w:eastAsia="仿宋"/>
          <w:color w:val="000000" w:themeColor="text1"/>
          <w:szCs w:val="32"/>
        </w:rPr>
        <w:t>推动构建以排污许可制为核心的固定污染源监管制度体系，实现固定污染源排污许可全覆盖，推动工业固体废物、土壤环境要素全覆盖，积极探索碳排放纳入排污许可管理内容和实施路径。</w:t>
      </w:r>
      <w:r>
        <w:rPr>
          <w:rFonts w:hint="eastAsia" w:eastAsia="仿宋"/>
          <w:color w:val="000000" w:themeColor="text1"/>
          <w:szCs w:val="32"/>
        </w:rPr>
        <w:t>加强排污许可证后管理，按照“双随机、一公开”要求开展日常执法监管，建立排污许可质量控制长效机制。建立排污许可联动管理机制，加快推进环评与排污许可融合，推动排污许可与环境执法、环境监测、总量控制等环境管理制度有机衔接，构建以排污许可证为核心的固定污染源监管制度体系</w:t>
      </w:r>
    </w:p>
    <w:p>
      <w:pPr>
        <w:spacing w:line="590" w:lineRule="exact"/>
        <w:ind w:firstLine="640" w:firstLineChars="200"/>
        <w:rPr>
          <w:rFonts w:eastAsia="仿宋"/>
          <w:color w:val="000000" w:themeColor="text1"/>
          <w:szCs w:val="32"/>
        </w:rPr>
      </w:pPr>
    </w:p>
    <w:p>
      <w:pPr>
        <w:pStyle w:val="17"/>
        <w:spacing w:line="590" w:lineRule="exact"/>
        <w:ind w:firstLine="320"/>
        <w:rPr>
          <w:szCs w:val="32"/>
        </w:rPr>
      </w:pP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22" w:name="_Toc98755259"/>
      <w:r>
        <w:rPr>
          <w:rFonts w:ascii="Times New Roman" w:hAnsi="Times New Roman" w:eastAsia="黑体" w:cs="Times New Roman"/>
          <w:b w:val="0"/>
          <w:bCs w:val="0"/>
          <w:color w:val="000000" w:themeColor="text1"/>
        </w:rPr>
        <w:t>四、推动碳达峰行动，应对气候变化</w:t>
      </w:r>
      <w:bookmarkEnd w:id="22"/>
    </w:p>
    <w:p>
      <w:pPr>
        <w:spacing w:line="590" w:lineRule="exact"/>
        <w:ind w:firstLine="643" w:firstLineChars="200"/>
        <w:outlineLvl w:val="1"/>
        <w:rPr>
          <w:rFonts w:eastAsia="楷体"/>
          <w:b/>
          <w:bCs/>
          <w:szCs w:val="32"/>
        </w:rPr>
      </w:pPr>
      <w:bookmarkStart w:id="23" w:name="_Toc98755260"/>
      <w:r>
        <w:rPr>
          <w:rFonts w:eastAsia="楷体"/>
          <w:b/>
          <w:bCs/>
          <w:szCs w:val="32"/>
        </w:rPr>
        <w:t>（一）</w:t>
      </w:r>
      <w:r>
        <w:rPr>
          <w:rFonts w:hint="eastAsia" w:eastAsia="楷体"/>
          <w:b/>
          <w:bCs/>
          <w:szCs w:val="32"/>
        </w:rPr>
        <w:t>制定碳排放达峰行动方案</w:t>
      </w:r>
      <w:bookmarkEnd w:id="23"/>
    </w:p>
    <w:p>
      <w:pPr>
        <w:spacing w:line="590" w:lineRule="exact"/>
        <w:ind w:firstLine="640"/>
        <w:rPr>
          <w:rFonts w:eastAsia="仿宋"/>
          <w:color w:val="000000" w:themeColor="text1"/>
          <w:szCs w:val="32"/>
        </w:rPr>
      </w:pPr>
      <w:r>
        <w:rPr>
          <w:rFonts w:hint="eastAsia" w:eastAsia="仿宋"/>
          <w:color w:val="000000" w:themeColor="text1"/>
          <w:szCs w:val="32"/>
        </w:rPr>
        <w:t>根据省市碳排放达峰行动方案</w:t>
      </w:r>
      <w:r>
        <w:rPr>
          <w:rFonts w:eastAsia="仿宋"/>
          <w:color w:val="000000" w:themeColor="text1"/>
          <w:szCs w:val="32"/>
        </w:rPr>
        <w:t>制定益阳市</w:t>
      </w:r>
      <w:r>
        <w:rPr>
          <w:rFonts w:hint="eastAsia" w:eastAsia="仿宋"/>
          <w:color w:val="000000" w:themeColor="text1"/>
          <w:szCs w:val="32"/>
        </w:rPr>
        <w:t>资阳区</w:t>
      </w:r>
      <w:r>
        <w:rPr>
          <w:rFonts w:eastAsia="仿宋"/>
          <w:color w:val="000000" w:themeColor="text1"/>
          <w:szCs w:val="32"/>
        </w:rPr>
        <w:t>二氧化碳排放达峰行动方案，明确达峰目标、路线图、达峰目标任务分解及责任落实。鼓励能源、工业、交通、建筑等重点领域制定达峰专项行动方案；鼓励大型企业制定达峰行动方案、实施碳减排示范工程。</w:t>
      </w:r>
    </w:p>
    <w:p>
      <w:pPr>
        <w:spacing w:line="590" w:lineRule="exact"/>
        <w:ind w:firstLine="643" w:firstLineChars="200"/>
        <w:outlineLvl w:val="1"/>
        <w:rPr>
          <w:rFonts w:eastAsia="楷体"/>
          <w:b/>
          <w:bCs/>
          <w:szCs w:val="32"/>
        </w:rPr>
      </w:pPr>
      <w:bookmarkStart w:id="24" w:name="_Toc98755261"/>
      <w:r>
        <w:rPr>
          <w:rFonts w:eastAsia="楷体"/>
          <w:b/>
          <w:bCs/>
          <w:szCs w:val="32"/>
        </w:rPr>
        <w:t>（</w:t>
      </w:r>
      <w:r>
        <w:rPr>
          <w:rFonts w:hint="eastAsia" w:eastAsia="楷体"/>
          <w:b/>
          <w:bCs/>
          <w:szCs w:val="32"/>
        </w:rPr>
        <w:t>二</w:t>
      </w:r>
      <w:r>
        <w:rPr>
          <w:rFonts w:eastAsia="楷体"/>
          <w:b/>
          <w:bCs/>
          <w:szCs w:val="32"/>
        </w:rPr>
        <w:t>）控制温室气体排放</w:t>
      </w:r>
      <w:bookmarkEnd w:id="24"/>
    </w:p>
    <w:p>
      <w:pPr>
        <w:spacing w:line="590" w:lineRule="exact"/>
        <w:ind w:firstLine="640" w:firstLineChars="200"/>
        <w:rPr>
          <w:rFonts w:eastAsia="仿宋"/>
          <w:color w:val="000000" w:themeColor="text1"/>
          <w:szCs w:val="32"/>
        </w:rPr>
      </w:pPr>
      <w:r>
        <w:rPr>
          <w:rFonts w:hint="eastAsia" w:eastAsia="仿宋"/>
          <w:color w:val="000000" w:themeColor="text1"/>
          <w:szCs w:val="32"/>
        </w:rPr>
        <w:t>实施二氧化碳控制专项行动，强化二氧化碳与大气污染物协同控制，落实碳排放总量和强度目标考核制度，全区碳排放总量和碳排放强度达到省市考核要求。强化温室气体排放数据统计、核算，编制区级温室气体排放清单</w:t>
      </w:r>
      <w:r>
        <w:rPr>
          <w:rFonts w:eastAsia="仿宋"/>
          <w:color w:val="000000" w:themeColor="text1"/>
          <w:szCs w:val="32"/>
        </w:rPr>
        <w:t>。</w:t>
      </w:r>
    </w:p>
    <w:p>
      <w:pPr>
        <w:spacing w:line="590" w:lineRule="exact"/>
        <w:ind w:firstLine="640" w:firstLineChars="200"/>
        <w:rPr>
          <w:rFonts w:eastAsia="仿宋"/>
          <w:color w:val="000000" w:themeColor="text1"/>
          <w:szCs w:val="32"/>
        </w:rPr>
      </w:pPr>
      <w:r>
        <w:rPr>
          <w:rFonts w:hint="eastAsia" w:eastAsia="仿宋"/>
          <w:color w:val="000000" w:themeColor="text1"/>
          <w:szCs w:val="32"/>
        </w:rPr>
        <w:t>强化工业、交通、建筑等领域低碳发展。强化工业过程温室气体排放控制，采取原料替代、生产工艺改善、设备改进等措施减少工业过程温室气体排放。大力发展低碳交通，推广新能源车辆，加快充电基础设施建设，提高营运车辆的低碳比例。推行绿色建筑，提高城镇新建建筑中绿色建筑比例，逐步实施既有居住建筑和公共建筑的绿色节能改造，强化对公共建筑用能监测和低碳运营管理，各项指标满足省市目标要求。</w:t>
      </w:r>
    </w:p>
    <w:p>
      <w:pPr>
        <w:spacing w:line="590" w:lineRule="exact"/>
        <w:ind w:firstLine="643" w:firstLineChars="200"/>
        <w:outlineLvl w:val="1"/>
        <w:rPr>
          <w:rFonts w:eastAsia="楷体"/>
          <w:b/>
          <w:bCs/>
          <w:szCs w:val="32"/>
        </w:rPr>
      </w:pPr>
      <w:bookmarkStart w:id="25" w:name="_Toc98755262"/>
      <w:r>
        <w:rPr>
          <w:rFonts w:eastAsia="楷体"/>
          <w:b/>
          <w:bCs/>
          <w:szCs w:val="32"/>
        </w:rPr>
        <w:t>（</w:t>
      </w:r>
      <w:r>
        <w:rPr>
          <w:rFonts w:hint="eastAsia" w:eastAsia="楷体"/>
          <w:b/>
          <w:bCs/>
          <w:szCs w:val="32"/>
        </w:rPr>
        <w:t>三</w:t>
      </w:r>
      <w:r>
        <w:rPr>
          <w:rFonts w:eastAsia="楷体"/>
          <w:b/>
          <w:bCs/>
          <w:szCs w:val="32"/>
        </w:rPr>
        <w:t>）</w:t>
      </w:r>
      <w:r>
        <w:rPr>
          <w:rFonts w:hint="eastAsia" w:eastAsia="楷体"/>
          <w:b/>
          <w:bCs/>
          <w:szCs w:val="32"/>
        </w:rPr>
        <w:t>主动适用气候变化</w:t>
      </w:r>
      <w:bookmarkEnd w:id="25"/>
    </w:p>
    <w:p>
      <w:pPr>
        <w:spacing w:line="590" w:lineRule="exact"/>
        <w:ind w:firstLine="640" w:firstLineChars="200"/>
        <w:rPr>
          <w:rFonts w:eastAsia="仿宋"/>
          <w:color w:val="000000" w:themeColor="text1"/>
          <w:szCs w:val="32"/>
        </w:rPr>
      </w:pPr>
      <w:r>
        <w:rPr>
          <w:rFonts w:hint="eastAsia" w:eastAsia="仿宋"/>
          <w:color w:val="000000" w:themeColor="text1"/>
          <w:szCs w:val="32"/>
        </w:rPr>
        <w:t>制定适应气候变化实施方案，开展气候变化风险评估，识别气候变化对水资源保障、粮食生产、城乡环境、人体健康、重大工程的影响，开展应对气候变化风险管理。完善防灾减灾及风险应对机制，提升应对未来气候风险能力。提升极端气候事件监测预警、防灾减灾综合评估和风险管控能力，制定应对和防范措施。</w:t>
      </w:r>
    </w:p>
    <w:p>
      <w:pPr>
        <w:spacing w:line="590" w:lineRule="exact"/>
        <w:ind w:firstLine="640" w:firstLineChars="200"/>
        <w:rPr>
          <w:rFonts w:eastAsia="仿宋"/>
          <w:color w:val="000000" w:themeColor="text1"/>
          <w:szCs w:val="32"/>
        </w:rPr>
      </w:pPr>
      <w:r>
        <w:rPr>
          <w:rFonts w:eastAsia="仿宋"/>
          <w:color w:val="000000" w:themeColor="text1"/>
          <w:szCs w:val="32"/>
        </w:rPr>
        <w:t>积极推行合同能源管理、节能产品政府强制采购、建筑能耗标准制度，对属于国家限制、淘汰的高能耗企业实行专项加价的差别电价或惩罚性电价制度。加快碳交易市场和低碳技术交易平台建设，完善生态环境市场机制，加快建立用能权、用水权、排污权和碳排放权交易市场体系，发展绿色金融，推进绿色技术创新，培育壮大环保产业。</w:t>
      </w:r>
    </w:p>
    <w:p>
      <w:pPr>
        <w:pStyle w:val="28"/>
        <w:adjustRightInd/>
        <w:snapToGrid/>
        <w:spacing w:line="590" w:lineRule="exact"/>
        <w:ind w:firstLine="640"/>
        <w:rPr>
          <w:sz w:val="32"/>
          <w:szCs w:val="32"/>
        </w:rPr>
      </w:pPr>
    </w:p>
    <w:p>
      <w:pPr>
        <w:pStyle w:val="4"/>
        <w:spacing w:before="0" w:after="0" w:line="590" w:lineRule="exact"/>
        <w:rPr>
          <w:rFonts w:ascii="Times New Roman" w:hAnsi="Times New Roman" w:eastAsia="黑体" w:cs="Times New Roman"/>
          <w:b w:val="0"/>
          <w:bCs w:val="0"/>
          <w:color w:val="000000" w:themeColor="text1"/>
        </w:rPr>
        <w:sectPr>
          <w:footerReference r:id="rId10" w:type="default"/>
          <w:pgSz w:w="11906" w:h="16838"/>
          <w:pgMar w:top="1440" w:right="1800" w:bottom="1440" w:left="1800" w:header="851" w:footer="992" w:gutter="0"/>
          <w:pgNumType w:start="1"/>
          <w:cols w:space="425" w:num="1"/>
          <w:docGrid w:type="lines" w:linePitch="312" w:charSpace="0"/>
        </w:sectPr>
      </w:pPr>
    </w:p>
    <w:p>
      <w:pPr>
        <w:pStyle w:val="4"/>
        <w:spacing w:before="0" w:after="0" w:line="590" w:lineRule="exact"/>
        <w:rPr>
          <w:rFonts w:ascii="Times New Roman" w:hAnsi="Times New Roman" w:eastAsia="黑体" w:cs="Times New Roman"/>
          <w:b w:val="0"/>
          <w:bCs w:val="0"/>
          <w:color w:val="000000" w:themeColor="text1"/>
        </w:rPr>
      </w:pPr>
      <w:bookmarkStart w:id="26" w:name="_Toc98755263"/>
      <w:r>
        <w:rPr>
          <w:rFonts w:ascii="Times New Roman" w:hAnsi="Times New Roman" w:eastAsia="黑体" w:cs="Times New Roman"/>
          <w:b w:val="0"/>
          <w:bCs w:val="0"/>
          <w:color w:val="000000" w:themeColor="text1"/>
        </w:rPr>
        <w:t>五、加强协同治理，力争空气质量稳定达标</w:t>
      </w:r>
      <w:bookmarkEnd w:id="26"/>
    </w:p>
    <w:p>
      <w:pPr>
        <w:spacing w:line="590" w:lineRule="exact"/>
        <w:ind w:firstLine="643" w:firstLineChars="200"/>
        <w:outlineLvl w:val="1"/>
        <w:rPr>
          <w:rFonts w:eastAsia="楷体"/>
          <w:b/>
          <w:bCs/>
          <w:szCs w:val="32"/>
        </w:rPr>
      </w:pPr>
      <w:bookmarkStart w:id="27" w:name="_Toc98755264"/>
      <w:bookmarkStart w:id="28" w:name="_Toc529879402"/>
      <w:bookmarkStart w:id="29" w:name="_Hlk25696594"/>
      <w:bookmarkStart w:id="30" w:name="_Hlk25696500"/>
      <w:r>
        <w:rPr>
          <w:rFonts w:eastAsia="楷体"/>
          <w:b/>
          <w:bCs/>
          <w:szCs w:val="32"/>
        </w:rPr>
        <w:t>（一）推动多污染物协同减排</w:t>
      </w:r>
      <w:bookmarkEnd w:id="27"/>
    </w:p>
    <w:p>
      <w:pPr>
        <w:spacing w:line="590" w:lineRule="exact"/>
        <w:ind w:firstLine="640" w:firstLineChars="200"/>
        <w:rPr>
          <w:rFonts w:eastAsia="仿宋"/>
          <w:color w:val="000000" w:themeColor="text1"/>
          <w:szCs w:val="32"/>
        </w:rPr>
      </w:pPr>
      <w:r>
        <w:rPr>
          <w:rFonts w:eastAsia="仿宋"/>
          <w:color w:val="000000" w:themeColor="text1"/>
          <w:szCs w:val="32"/>
        </w:rPr>
        <w:t>通过优选控制技术，优化控制方案，加大对涉O</w:t>
      </w:r>
      <w:r>
        <w:rPr>
          <w:rFonts w:eastAsia="仿宋"/>
          <w:color w:val="000000" w:themeColor="text1"/>
          <w:szCs w:val="32"/>
          <w:vertAlign w:val="subscript"/>
        </w:rPr>
        <w:t>3</w:t>
      </w:r>
      <w:r>
        <w:rPr>
          <w:rFonts w:eastAsia="仿宋"/>
          <w:color w:val="000000" w:themeColor="text1"/>
          <w:szCs w:val="32"/>
        </w:rPr>
        <w:t>、PM</w:t>
      </w:r>
      <w:r>
        <w:rPr>
          <w:rFonts w:eastAsia="仿宋"/>
          <w:color w:val="000000" w:themeColor="text1"/>
          <w:szCs w:val="32"/>
          <w:vertAlign w:val="subscript"/>
        </w:rPr>
        <w:t>2.5</w:t>
      </w:r>
      <w:r>
        <w:rPr>
          <w:rFonts w:eastAsia="仿宋"/>
          <w:color w:val="000000" w:themeColor="text1"/>
          <w:szCs w:val="32"/>
        </w:rPr>
        <w:t>等污染物的协同治理，加强PM</w:t>
      </w:r>
      <w:r>
        <w:rPr>
          <w:rFonts w:eastAsia="仿宋"/>
          <w:color w:val="000000" w:themeColor="text1"/>
          <w:szCs w:val="32"/>
          <w:vertAlign w:val="subscript"/>
        </w:rPr>
        <w:t>2.5</w:t>
      </w:r>
      <w:r>
        <w:rPr>
          <w:rFonts w:eastAsia="仿宋"/>
          <w:color w:val="000000" w:themeColor="text1"/>
          <w:szCs w:val="32"/>
        </w:rPr>
        <w:t>控制的基础上，补齐臭氧污染治理短板。强化PM</w:t>
      </w:r>
      <w:r>
        <w:rPr>
          <w:rFonts w:eastAsia="仿宋"/>
          <w:color w:val="000000" w:themeColor="text1"/>
          <w:szCs w:val="32"/>
          <w:vertAlign w:val="subscript"/>
        </w:rPr>
        <w:t>2.5</w:t>
      </w:r>
      <w:r>
        <w:rPr>
          <w:rFonts w:eastAsia="仿宋"/>
          <w:color w:val="000000" w:themeColor="text1"/>
          <w:szCs w:val="32"/>
        </w:rPr>
        <w:t>和臭氧的共同前体物VOCs进行协同控制，以</w:t>
      </w:r>
      <w:r>
        <w:rPr>
          <w:rFonts w:hint="eastAsia" w:eastAsia="仿宋"/>
          <w:color w:val="000000" w:themeColor="text1"/>
          <w:szCs w:val="32"/>
        </w:rPr>
        <w:t>电子电路制造、</w:t>
      </w:r>
      <w:r>
        <w:rPr>
          <w:rFonts w:eastAsia="仿宋"/>
          <w:color w:val="000000" w:themeColor="text1"/>
          <w:szCs w:val="32"/>
        </w:rPr>
        <w:t>工业涂装、包装印刷、油品储运销等重点行业为龙头，带动VOCs综合治理工作全面开展，重点开展产业结构、能源结构、交通运输结构调整，低VOCs含量产品的原料替代，低氮燃烧，脱氮改造，超低排放VOCs治理。加强消耗臭氧层物质管理，协同控制温室气体排放，推动大气污染治理和应对气候变化的协同治理。强化有毒有害大气污染物风险控制，推进大气汞污染物排放控制，全面加强大气汞相关行业“管理、源头、过程控制和末端治理相结合”的全过程精细化管控方式。</w:t>
      </w:r>
      <w:bookmarkEnd w:id="28"/>
      <w:bookmarkEnd w:id="29"/>
      <w:bookmarkEnd w:id="30"/>
    </w:p>
    <w:p>
      <w:pPr>
        <w:spacing w:line="590" w:lineRule="exact"/>
        <w:ind w:firstLine="643" w:firstLineChars="200"/>
        <w:outlineLvl w:val="1"/>
        <w:rPr>
          <w:rFonts w:eastAsia="楷体"/>
          <w:b/>
          <w:bCs/>
          <w:szCs w:val="32"/>
        </w:rPr>
      </w:pPr>
      <w:bookmarkStart w:id="31" w:name="_Toc98755265"/>
      <w:r>
        <w:rPr>
          <w:rFonts w:eastAsia="楷体"/>
          <w:b/>
          <w:bCs/>
          <w:szCs w:val="32"/>
        </w:rPr>
        <w:t>（二）</w:t>
      </w:r>
      <w:r>
        <w:rPr>
          <w:rFonts w:eastAsia="楷体"/>
          <w:b/>
          <w:bCs/>
          <w:szCs w:val="32"/>
          <w:lang w:val="zh-CN"/>
        </w:rPr>
        <w:t>加强</w:t>
      </w:r>
      <w:r>
        <w:rPr>
          <w:rFonts w:eastAsia="楷体"/>
          <w:b/>
          <w:bCs/>
          <w:szCs w:val="32"/>
        </w:rPr>
        <w:t>固定源</w:t>
      </w:r>
      <w:r>
        <w:rPr>
          <w:rFonts w:eastAsia="楷体"/>
          <w:b/>
          <w:bCs/>
          <w:szCs w:val="32"/>
          <w:lang w:val="zh-CN"/>
        </w:rPr>
        <w:t>污染综合治理</w:t>
      </w:r>
      <w:bookmarkEnd w:id="31"/>
    </w:p>
    <w:p>
      <w:pPr>
        <w:spacing w:line="590" w:lineRule="exact"/>
        <w:ind w:firstLine="643" w:firstLineChars="200"/>
        <w:rPr>
          <w:rFonts w:eastAsia="仿宋"/>
          <w:color w:val="000000" w:themeColor="text1"/>
          <w:szCs w:val="32"/>
        </w:rPr>
      </w:pPr>
      <w:bookmarkStart w:id="32" w:name="_Hlk25698895"/>
      <w:r>
        <w:rPr>
          <w:rFonts w:eastAsia="仿宋"/>
          <w:b/>
          <w:bCs/>
          <w:color w:val="000000" w:themeColor="text1"/>
          <w:szCs w:val="32"/>
        </w:rPr>
        <w:t>强化NOx深度治理。</w:t>
      </w:r>
      <w:r>
        <w:rPr>
          <w:rFonts w:eastAsia="仿宋"/>
          <w:color w:val="000000" w:themeColor="text1"/>
          <w:szCs w:val="32"/>
        </w:rPr>
        <w:t>重点推进</w:t>
      </w:r>
      <w:r>
        <w:rPr>
          <w:rFonts w:eastAsia="仿宋"/>
          <w:szCs w:val="32"/>
        </w:rPr>
        <w:t>烧结砖瓦行业末端治理设施升级改造，淘汰简陋落后的“双碱法”脱硫除尘一体化技术，推动行业向成熟先进的大气污染物治理设施升级换代，到2025年，行业整体脱硫、除尘效率力争分别达到80%、90%</w:t>
      </w:r>
      <w:r>
        <w:rPr>
          <w:rFonts w:eastAsia="仿宋"/>
          <w:color w:val="000000" w:themeColor="text1"/>
          <w:szCs w:val="32"/>
        </w:rPr>
        <w:t>。实施燃气锅炉低氮改造，</w:t>
      </w:r>
      <w:r>
        <w:rPr>
          <w:rFonts w:eastAsia="仿宋"/>
          <w:szCs w:val="32"/>
        </w:rPr>
        <w:t>改造后氮氧化物浓度不高于50毫克/立方米</w:t>
      </w:r>
      <w:r>
        <w:rPr>
          <w:rFonts w:eastAsia="仿宋"/>
          <w:color w:val="000000" w:themeColor="text1"/>
          <w:szCs w:val="32"/>
        </w:rPr>
        <w:t>。</w:t>
      </w:r>
      <w:r>
        <w:rPr>
          <w:rFonts w:hint="eastAsia" w:eastAsia="仿宋"/>
          <w:color w:val="000000" w:themeColor="text1"/>
          <w:szCs w:val="32"/>
        </w:rPr>
        <w:t>十四五期间益阳鸿源稀土有限责任公司对1台6t/h天然气锅炉低氮改造，对3条隧道窑低氮改造。湖南皇爷食品有限公司对2台10t/h天然气锅炉低氮改造。奥士康科技股份有限公司对1台6t/h和1台3t/h天然气锅炉低氮改造。湖南口味王集团有限责任公司对1台10t/h天然气锅炉低氮改造和1台8t/h锅炉低氮改造，对以上改造企业NOx排放量消减50%以上。依托长安益阳发电有限公司余热综合利用工程，全力推进长春经济开发区集中供热能工程，切实削减长春经济开发区各企业因供热能锅炉产生的氮氧化物、烟尘等污染物的排放贡献值，有效削减市城区的污染排放总量。对工业炉窑或锅炉改造或者替代使用电、天然气等清洁能源或由周边热电厂供热。</w:t>
      </w:r>
    </w:p>
    <w:p>
      <w:pPr>
        <w:spacing w:line="590" w:lineRule="exact"/>
        <w:ind w:firstLine="643" w:firstLineChars="200"/>
        <w:rPr>
          <w:rFonts w:eastAsia="仿宋"/>
          <w:color w:val="000000" w:themeColor="text1"/>
          <w:szCs w:val="32"/>
        </w:rPr>
      </w:pPr>
      <w:r>
        <w:rPr>
          <w:rFonts w:eastAsia="仿宋"/>
          <w:b/>
          <w:bCs/>
          <w:color w:val="000000" w:themeColor="text1"/>
          <w:szCs w:val="32"/>
        </w:rPr>
        <w:t>推进VOCs全过程综合整治。</w:t>
      </w:r>
      <w:r>
        <w:rPr>
          <w:color w:val="000000"/>
          <w:kern w:val="0"/>
          <w:szCs w:val="32"/>
        </w:rPr>
        <w:t>以</w:t>
      </w:r>
      <w:r>
        <w:rPr>
          <w:rFonts w:hint="eastAsia" w:eastAsia="仿宋"/>
          <w:color w:val="000000" w:themeColor="text1"/>
          <w:szCs w:val="32"/>
        </w:rPr>
        <w:t>电子电路制造</w:t>
      </w:r>
      <w:r>
        <w:rPr>
          <w:rFonts w:eastAsia="仿宋"/>
          <w:color w:val="000000" w:themeColor="text1"/>
          <w:szCs w:val="32"/>
        </w:rPr>
        <w:t>、包装印刷、工业涂装、家具制造</w:t>
      </w:r>
      <w:r>
        <w:rPr>
          <w:color w:val="000000"/>
          <w:kern w:val="0"/>
          <w:szCs w:val="32"/>
        </w:rPr>
        <w:t>等行业为重点，实施VOCs原料替代、排放全过程控制。</w:t>
      </w:r>
      <w:r>
        <w:rPr>
          <w:color w:val="000000"/>
        </w:rPr>
        <w:t>按照</w:t>
      </w:r>
      <w:r>
        <w:rPr>
          <w:rFonts w:eastAsia="仿宋"/>
          <w:color w:val="000000"/>
        </w:rPr>
        <w:t>“分业施策、一行一策”的原</w:t>
      </w:r>
      <w:r>
        <w:rPr>
          <w:color w:val="000000"/>
        </w:rPr>
        <w:t>则，</w:t>
      </w:r>
      <w:r>
        <w:rPr>
          <w:rFonts w:eastAsia="仿宋"/>
          <w:color w:val="000000" w:themeColor="text1"/>
          <w:szCs w:val="32"/>
        </w:rPr>
        <w:t>加强VOCs污染源头管理，推进低（无）VOCs原辅材料，推广油性漆改水性漆；</w:t>
      </w:r>
      <w:r>
        <w:t>推进使用全密闭、连续化、自动化等生产技术，以及高效工艺与设备等，减少工艺过程无组织排放；遵</w:t>
      </w:r>
      <w:r>
        <w:rPr>
          <w:rFonts w:eastAsia="仿宋"/>
          <w:color w:val="000000"/>
          <w:szCs w:val="22"/>
        </w:rPr>
        <w:t>循“应收尽收、分质收集”的</w:t>
      </w:r>
      <w:r>
        <w:t>原则，</w:t>
      </w:r>
      <w:r>
        <w:rPr>
          <w:rFonts w:eastAsia="仿宋"/>
          <w:color w:val="000000" w:themeColor="text1"/>
          <w:szCs w:val="32"/>
        </w:rPr>
        <w:t>强化VOCs末端治理，实行重点排放源排放浓度与去除效率双重管控。</w:t>
      </w:r>
      <w:r>
        <w:rPr>
          <w:rFonts w:hint="eastAsia" w:eastAsia="仿宋"/>
          <w:color w:val="000000" w:themeColor="text1"/>
          <w:szCs w:val="32"/>
        </w:rPr>
        <w:t>对奥士康、明正宏、维胜等多家线路板制造企业涉VOCs排放的生产线按照方案进行治理，对森华木业、南洋包装等VOCs排放重点企业按照方案进行治理</w:t>
      </w:r>
    </w:p>
    <w:p>
      <w:pPr>
        <w:spacing w:line="590" w:lineRule="exact"/>
        <w:ind w:firstLine="643" w:firstLineChars="200"/>
        <w:outlineLvl w:val="1"/>
        <w:rPr>
          <w:rFonts w:eastAsia="楷体"/>
          <w:b/>
          <w:bCs/>
          <w:szCs w:val="32"/>
        </w:rPr>
      </w:pPr>
      <w:bookmarkStart w:id="33" w:name="_Toc98755266"/>
      <w:r>
        <w:rPr>
          <w:rFonts w:eastAsia="楷体"/>
          <w:b/>
          <w:bCs/>
          <w:szCs w:val="32"/>
        </w:rPr>
        <w:t>（三）推进移动源污染防治</w:t>
      </w:r>
      <w:bookmarkEnd w:id="33"/>
    </w:p>
    <w:bookmarkEnd w:id="32"/>
    <w:p>
      <w:pPr>
        <w:spacing w:line="590" w:lineRule="exact"/>
        <w:ind w:firstLine="640" w:firstLineChars="200"/>
        <w:rPr>
          <w:szCs w:val="32"/>
        </w:rPr>
      </w:pPr>
      <w:bookmarkStart w:id="34" w:name="_Hlk25700075"/>
      <w:bookmarkStart w:id="35" w:name="_Toc36129917"/>
      <w:r>
        <w:rPr>
          <w:szCs w:val="32"/>
        </w:rPr>
        <w:t>加快淘汰高排放老旧车辆，坚决淘汰连续3次排放检验不达标的老旧车辆，到2025年，基本完成老旧汽油车辆（国二及以下）及60%老旧柴油车辆（国三及以下）淘汰任务。依法强制报废超过使用年限的船舶，鼓励淘汰使用20年以上的内河航运船舶。</w:t>
      </w:r>
      <w:r>
        <w:rPr>
          <w:rFonts w:hint="eastAsia"/>
          <w:color w:val="000000" w:themeColor="text1"/>
          <w:szCs w:val="32"/>
        </w:rPr>
        <w:t>开展非道路移动机械尾气排放整治工作，每年抽检比例不低于摸底调查数量的50%，强化非道路移动机械申报登记监管、执法检测。</w:t>
      </w:r>
      <w:r>
        <w:rPr>
          <w:szCs w:val="32"/>
        </w:rPr>
        <w:t>全面供应符合国六标准车用汽柴油，停止销售低于国六标准的车用汽柴油，实现车用柴油、普通柴油、部分船舶用油</w:t>
      </w:r>
      <w:r>
        <w:rPr>
          <w:rFonts w:eastAsia="仿宋"/>
          <w:szCs w:val="32"/>
        </w:rPr>
        <w:t>“</w:t>
      </w:r>
      <w:r>
        <w:rPr>
          <w:szCs w:val="32"/>
        </w:rPr>
        <w:t>三油并轨</w:t>
      </w:r>
      <w:r>
        <w:rPr>
          <w:rFonts w:eastAsia="仿宋"/>
          <w:szCs w:val="32"/>
        </w:rPr>
        <w:t>”</w:t>
      </w:r>
      <w:r>
        <w:rPr>
          <w:szCs w:val="32"/>
        </w:rPr>
        <w:t>。加强车用油品质量监督检查，每年油品抽查覆盖率不低于全</w:t>
      </w:r>
      <w:r>
        <w:rPr>
          <w:rFonts w:hint="eastAsia"/>
          <w:szCs w:val="32"/>
        </w:rPr>
        <w:t>区</w:t>
      </w:r>
      <w:r>
        <w:rPr>
          <w:szCs w:val="32"/>
        </w:rPr>
        <w:t>加油站（点）总数的10%，确保</w:t>
      </w:r>
      <w:r>
        <w:rPr>
          <w:rFonts w:hint="eastAsia"/>
          <w:szCs w:val="32"/>
        </w:rPr>
        <w:t>全区</w:t>
      </w:r>
      <w:r>
        <w:rPr>
          <w:szCs w:val="32"/>
        </w:rPr>
        <w:t>加油站油品质量。严厉打击生产、销售和使用非标车（船）用燃料，严禁运输企业储存使用非标油，坚决取缔黑加油站点。</w:t>
      </w:r>
    </w:p>
    <w:p>
      <w:pPr>
        <w:spacing w:line="590" w:lineRule="exact"/>
        <w:ind w:firstLine="643" w:firstLineChars="200"/>
        <w:outlineLvl w:val="1"/>
        <w:rPr>
          <w:rFonts w:eastAsia="楷体"/>
          <w:b/>
          <w:bCs/>
          <w:szCs w:val="32"/>
        </w:rPr>
      </w:pPr>
      <w:bookmarkStart w:id="36" w:name="_Toc98755267"/>
      <w:r>
        <w:rPr>
          <w:rFonts w:eastAsia="楷体"/>
          <w:b/>
          <w:bCs/>
          <w:szCs w:val="32"/>
        </w:rPr>
        <w:t>（四）强化面源污染治理</w:t>
      </w:r>
      <w:bookmarkEnd w:id="36"/>
    </w:p>
    <w:p>
      <w:pPr>
        <w:spacing w:line="590" w:lineRule="exact"/>
        <w:ind w:firstLine="640" w:firstLineChars="200"/>
        <w:rPr>
          <w:rFonts w:eastAsia="仿宋"/>
          <w:color w:val="000000" w:themeColor="text1"/>
          <w:szCs w:val="32"/>
        </w:rPr>
      </w:pPr>
      <w:r>
        <w:rPr>
          <w:rFonts w:hint="eastAsia" w:eastAsia="仿宋"/>
          <w:color w:val="000000" w:themeColor="text1"/>
          <w:szCs w:val="32"/>
        </w:rPr>
        <w:t>建立工地名单台账，每季度更新。加强施工工地“六个百分之百”监管，细化扬尘管控措施，加强预湿和喷淋抑尘措施和施工现场封闭措施管理。强化道路保洁，扩大机扫范围，增加机械化作业频次，积极探索、创新保洁作业方式。</w:t>
      </w:r>
      <w:r>
        <w:rPr>
          <w:rFonts w:eastAsia="仿宋"/>
          <w:color w:val="000000" w:themeColor="text1"/>
          <w:szCs w:val="32"/>
        </w:rPr>
        <w:t>建立大型</w:t>
      </w:r>
      <w:r>
        <w:rPr>
          <w:rFonts w:hint="eastAsia" w:eastAsia="仿宋"/>
          <w:color w:val="000000" w:themeColor="text1"/>
          <w:szCs w:val="32"/>
        </w:rPr>
        <w:t>砂石</w:t>
      </w:r>
      <w:r>
        <w:rPr>
          <w:rFonts w:eastAsia="仿宋"/>
          <w:color w:val="000000" w:themeColor="text1"/>
          <w:szCs w:val="32"/>
        </w:rPr>
        <w:t>堆场、料堆、码头等各种料场堆场清单名录，落实环境管理措施。加强餐饮油烟末端治理，</w:t>
      </w:r>
      <w:r>
        <w:rPr>
          <w:rFonts w:hint="eastAsia" w:eastAsia="仿宋"/>
          <w:color w:val="000000" w:themeColor="text1"/>
          <w:szCs w:val="32"/>
        </w:rPr>
        <w:t>推动全区完成餐饮油烟专项整治项目，</w:t>
      </w:r>
      <w:r>
        <w:rPr>
          <w:rFonts w:eastAsia="仿宋"/>
          <w:color w:val="000000" w:themeColor="text1"/>
          <w:szCs w:val="32"/>
        </w:rPr>
        <w:t>督促餐饮企业安装油烟净化设施并保持正常使用，或者采取其他油烟净化措施，使油烟达标排放，推进规模化餐饮企业安装油烟在线监控，</w:t>
      </w:r>
      <w:r>
        <w:rPr>
          <w:rFonts w:hint="eastAsia" w:eastAsia="仿宋"/>
          <w:color w:val="000000" w:themeColor="text1"/>
          <w:szCs w:val="32"/>
        </w:rPr>
        <w:t>鼓励开展油烟净化设施三方清洗维护，</w:t>
      </w:r>
      <w:r>
        <w:rPr>
          <w:rFonts w:eastAsia="仿宋"/>
          <w:color w:val="000000" w:themeColor="text1"/>
          <w:szCs w:val="32"/>
        </w:rPr>
        <w:t>规范整治露天烧烤。实施益阳市智慧禁烧项目，实现秸杆禁烧的全方位监控、预警和定位。</w:t>
      </w:r>
    </w:p>
    <w:p>
      <w:pPr>
        <w:spacing w:line="590" w:lineRule="exact"/>
        <w:ind w:firstLine="643" w:firstLineChars="200"/>
        <w:outlineLvl w:val="1"/>
        <w:rPr>
          <w:rFonts w:eastAsia="楷体"/>
          <w:b/>
          <w:bCs/>
          <w:szCs w:val="32"/>
        </w:rPr>
      </w:pPr>
      <w:bookmarkStart w:id="37" w:name="_Toc98755268"/>
      <w:r>
        <w:rPr>
          <w:rFonts w:eastAsia="楷体"/>
          <w:b/>
          <w:bCs/>
          <w:szCs w:val="32"/>
        </w:rPr>
        <w:t>（五）加强重污染天气应急响应</w:t>
      </w:r>
      <w:bookmarkEnd w:id="37"/>
    </w:p>
    <w:p>
      <w:pPr>
        <w:spacing w:line="590" w:lineRule="exact"/>
        <w:ind w:firstLine="640" w:firstLineChars="200"/>
        <w:rPr>
          <w:rFonts w:eastAsia="仿宋"/>
          <w:color w:val="000000" w:themeColor="text1"/>
          <w:szCs w:val="32"/>
        </w:rPr>
      </w:pPr>
      <w:r>
        <w:rPr>
          <w:rFonts w:eastAsia="仿宋"/>
          <w:color w:val="000000" w:themeColor="text1"/>
          <w:szCs w:val="32"/>
        </w:rPr>
        <w:t>加强</w:t>
      </w:r>
      <w:r>
        <w:rPr>
          <w:rFonts w:hint="eastAsia" w:eastAsia="仿宋"/>
          <w:color w:val="000000" w:themeColor="text1"/>
          <w:szCs w:val="32"/>
        </w:rPr>
        <w:t>区域</w:t>
      </w:r>
      <w:r>
        <w:rPr>
          <w:rFonts w:eastAsia="仿宋"/>
          <w:color w:val="000000" w:themeColor="text1"/>
          <w:szCs w:val="32"/>
        </w:rPr>
        <w:t>联防联治，完善并持续更新重污染天气应急预案。根据重污染天气情况及时启动应急响应措施，强化应急预案实施情况检查和评估，提升应急措施有效性。分类明确重污染天气应急响应过程中需停产、限产企业清单，细化重污染天气应急减排措施，督促工业企业按照“一厂一案”要求，制定具体的重污染天气应急响应操作方案，落实应急减排措施。实行环境信息公开，将重污染天气应急响应纳入</w:t>
      </w:r>
      <w:r>
        <w:rPr>
          <w:rFonts w:hint="eastAsia" w:eastAsia="仿宋"/>
          <w:color w:val="000000" w:themeColor="text1"/>
          <w:szCs w:val="32"/>
        </w:rPr>
        <w:t>区</w:t>
      </w:r>
      <w:r>
        <w:rPr>
          <w:rFonts w:eastAsia="仿宋"/>
          <w:color w:val="000000" w:themeColor="text1"/>
          <w:szCs w:val="32"/>
        </w:rPr>
        <w:t>政府突发事件应急管理体系。</w:t>
      </w:r>
    </w:p>
    <w:p>
      <w:pPr>
        <w:spacing w:line="590" w:lineRule="exact"/>
        <w:ind w:firstLine="643" w:firstLineChars="200"/>
        <w:outlineLvl w:val="1"/>
        <w:rPr>
          <w:rFonts w:eastAsia="楷体"/>
          <w:b/>
          <w:bCs/>
          <w:szCs w:val="32"/>
        </w:rPr>
      </w:pPr>
      <w:bookmarkStart w:id="38" w:name="_Toc98755269"/>
      <w:r>
        <w:rPr>
          <w:rFonts w:eastAsia="楷体"/>
          <w:b/>
          <w:bCs/>
          <w:szCs w:val="32"/>
        </w:rPr>
        <w:t>（六）加强其他污染治理</w:t>
      </w:r>
      <w:bookmarkEnd w:id="38"/>
    </w:p>
    <w:p>
      <w:pPr>
        <w:spacing w:line="590" w:lineRule="exact"/>
        <w:ind w:firstLine="640" w:firstLineChars="200"/>
        <w:rPr>
          <w:rFonts w:eastAsia="仿宋"/>
          <w:color w:val="000000" w:themeColor="text1"/>
          <w:szCs w:val="32"/>
        </w:rPr>
      </w:pPr>
      <w:r>
        <w:rPr>
          <w:rFonts w:hint="eastAsia" w:eastAsia="仿宋"/>
          <w:color w:val="000000" w:themeColor="text1"/>
          <w:szCs w:val="32"/>
        </w:rPr>
        <w:t>大型规模养殖场全部安装废气治理设施，推进畜禽粪便生物处理技术，建设氨排放净化装置，加强清洁养殖工艺和粪污资源化利用技术的研发、推广配套设施建设，实现畜禽养殖废弃物减量化、无害化和资源化。组织实施工业臭气异味治理，督促涉臭气异味企业采取封闭、加盖等收集处理措施，提高臭气废气收集率和处理率，显著减少工业臭气异味的排放。禁止露天焚烧沥青、油毡、橡胶、塑料、垃圾、皮革等产生有毒有害、恶臭气体的物质。</w:t>
      </w:r>
    </w:p>
    <w:p>
      <w:pPr>
        <w:spacing w:line="590" w:lineRule="exact"/>
        <w:ind w:firstLine="640" w:firstLineChars="200"/>
        <w:rPr>
          <w:rFonts w:eastAsia="仿宋"/>
          <w:color w:val="000000" w:themeColor="text1"/>
          <w:szCs w:val="32"/>
        </w:rPr>
      </w:pPr>
    </w:p>
    <w:p>
      <w:pPr>
        <w:spacing w:line="590" w:lineRule="exact"/>
        <w:jc w:val="center"/>
        <w:rPr>
          <w:rFonts w:eastAsia="仿宋"/>
          <w:color w:val="000000" w:themeColor="text1"/>
          <w:szCs w:val="32"/>
        </w:rPr>
      </w:pPr>
      <w:r>
        <w:rPr>
          <w:rFonts w:eastAsia="仿宋"/>
          <w:color w:val="000000" w:themeColor="text1"/>
          <w:szCs w:val="32"/>
        </w:rPr>
        <w:br w:type="page"/>
      </w:r>
    </w:p>
    <w:bookmarkEnd w:id="34"/>
    <w:bookmarkEnd w:id="35"/>
    <w:p>
      <w:pPr>
        <w:pStyle w:val="4"/>
        <w:spacing w:before="0" w:after="0" w:line="590" w:lineRule="exact"/>
        <w:rPr>
          <w:rFonts w:ascii="Times New Roman" w:hAnsi="Times New Roman" w:eastAsia="黑体" w:cs="Times New Roman"/>
          <w:b w:val="0"/>
          <w:bCs w:val="0"/>
          <w:color w:val="000000" w:themeColor="text1"/>
        </w:rPr>
      </w:pPr>
      <w:bookmarkStart w:id="39" w:name="_Toc98755270"/>
      <w:r>
        <w:rPr>
          <w:rFonts w:ascii="Times New Roman" w:hAnsi="Times New Roman" w:eastAsia="黑体" w:cs="Times New Roman"/>
          <w:b w:val="0"/>
          <w:bCs w:val="0"/>
          <w:color w:val="000000" w:themeColor="text1"/>
        </w:rPr>
        <w:t>六、深化系统治理，提高水环境质量</w:t>
      </w:r>
      <w:bookmarkEnd w:id="39"/>
    </w:p>
    <w:p>
      <w:pPr>
        <w:spacing w:line="590" w:lineRule="exact"/>
        <w:ind w:firstLine="643" w:firstLineChars="200"/>
        <w:outlineLvl w:val="1"/>
        <w:rPr>
          <w:rFonts w:eastAsia="楷体"/>
          <w:b/>
          <w:bCs/>
          <w:szCs w:val="32"/>
        </w:rPr>
      </w:pPr>
      <w:bookmarkStart w:id="40" w:name="_Toc98755271"/>
      <w:r>
        <w:rPr>
          <w:rFonts w:eastAsia="楷体"/>
          <w:b/>
          <w:bCs/>
          <w:szCs w:val="32"/>
        </w:rPr>
        <w:t>（一）</w:t>
      </w:r>
      <w:r>
        <w:rPr>
          <w:rFonts w:hint="eastAsia" w:eastAsia="楷体"/>
          <w:b/>
          <w:bCs/>
          <w:szCs w:val="32"/>
        </w:rPr>
        <w:t>加强饮用水水源地保护</w:t>
      </w:r>
      <w:bookmarkEnd w:id="40"/>
    </w:p>
    <w:p>
      <w:pPr>
        <w:spacing w:line="590" w:lineRule="exact"/>
        <w:ind w:firstLine="643" w:firstLineChars="200"/>
        <w:rPr>
          <w:rFonts w:eastAsia="仿宋"/>
          <w:color w:val="000000" w:themeColor="text1"/>
          <w:kern w:val="0"/>
          <w:szCs w:val="32"/>
        </w:rPr>
      </w:pPr>
      <w:r>
        <w:rPr>
          <w:rFonts w:hint="eastAsia" w:eastAsia="仿宋"/>
          <w:b/>
          <w:bCs/>
          <w:color w:val="000000" w:themeColor="text1"/>
          <w:szCs w:val="32"/>
        </w:rPr>
        <w:t>提升饮用水水源安全保障水平</w:t>
      </w:r>
      <w:r>
        <w:rPr>
          <w:rFonts w:eastAsia="仿宋"/>
          <w:b/>
          <w:bCs/>
          <w:color w:val="000000" w:themeColor="text1"/>
          <w:szCs w:val="32"/>
        </w:rPr>
        <w:t>。</w:t>
      </w:r>
      <w:r>
        <w:rPr>
          <w:rFonts w:hint="eastAsia" w:eastAsia="仿宋"/>
          <w:color w:val="000000" w:themeColor="text1"/>
          <w:kern w:val="0"/>
          <w:szCs w:val="32"/>
        </w:rPr>
        <w:t>牢牢守住饮用水水源安全底线，加强对新桥河水厂集中式饮用水源地附近工业企业、污水处理厂的监督检查，采取轮产、限产、停产等手段，减少自来水的消耗和污染物的排放。加强生态建设，积极调整饮用水源保护区内种植业结构，重点发展绿色食品、有机食品，增加农药化肥使用较少的其他经济作物，大幅减少农药化肥对资江水体的污染。定期监测、评估饮用水源水质状况，开展水源保护区及其上游或补给区环境状况和污染风险调查评估。</w:t>
      </w:r>
    </w:p>
    <w:p>
      <w:pPr>
        <w:spacing w:line="590" w:lineRule="exact"/>
        <w:ind w:firstLine="643" w:firstLineChars="200"/>
        <w:rPr>
          <w:rFonts w:eastAsia="仿宋"/>
          <w:color w:val="000000" w:themeColor="text1"/>
          <w:kern w:val="0"/>
          <w:szCs w:val="32"/>
        </w:rPr>
      </w:pPr>
      <w:r>
        <w:rPr>
          <w:rFonts w:hint="eastAsia" w:eastAsia="仿宋"/>
          <w:b/>
          <w:color w:val="000000" w:themeColor="text1"/>
          <w:kern w:val="0"/>
          <w:szCs w:val="32"/>
        </w:rPr>
        <w:t>加强饮用水源突发环境污染应急防控。</w:t>
      </w:r>
      <w:r>
        <w:rPr>
          <w:rFonts w:hint="eastAsia" w:eastAsia="仿宋"/>
          <w:color w:val="000000" w:themeColor="text1"/>
          <w:kern w:val="0"/>
          <w:szCs w:val="32"/>
        </w:rPr>
        <w:t>应急处置方案与益阳市应急预案加强衔接，保障饮用水水源安全。</w:t>
      </w:r>
    </w:p>
    <w:p>
      <w:pPr>
        <w:spacing w:line="590" w:lineRule="exact"/>
        <w:ind w:firstLine="643" w:firstLineChars="200"/>
        <w:outlineLvl w:val="1"/>
        <w:rPr>
          <w:rFonts w:eastAsia="楷体"/>
          <w:b/>
          <w:bCs/>
          <w:szCs w:val="32"/>
        </w:rPr>
      </w:pPr>
      <w:bookmarkStart w:id="41" w:name="_Toc98755272"/>
      <w:r>
        <w:rPr>
          <w:rFonts w:eastAsia="楷体"/>
          <w:b/>
          <w:bCs/>
          <w:szCs w:val="32"/>
        </w:rPr>
        <w:t>（</w:t>
      </w:r>
      <w:r>
        <w:rPr>
          <w:rFonts w:hint="eastAsia" w:eastAsia="楷体"/>
          <w:b/>
          <w:bCs/>
          <w:szCs w:val="32"/>
        </w:rPr>
        <w:t>二</w:t>
      </w:r>
      <w:r>
        <w:rPr>
          <w:rFonts w:eastAsia="楷体"/>
          <w:b/>
          <w:bCs/>
          <w:szCs w:val="32"/>
        </w:rPr>
        <w:t>）持续深化水环境治理</w:t>
      </w:r>
      <w:bookmarkEnd w:id="41"/>
    </w:p>
    <w:p>
      <w:pPr>
        <w:spacing w:line="590" w:lineRule="exact"/>
        <w:ind w:firstLine="643" w:firstLineChars="200"/>
        <w:rPr>
          <w:rFonts w:eastAsia="仿宋"/>
          <w:color w:val="000000" w:themeColor="text1"/>
          <w:szCs w:val="32"/>
        </w:rPr>
      </w:pPr>
      <w:r>
        <w:rPr>
          <w:rFonts w:eastAsia="仿宋"/>
          <w:b/>
          <w:bCs/>
          <w:color w:val="000000" w:themeColor="text1"/>
          <w:szCs w:val="32"/>
        </w:rPr>
        <w:t>加强重点流域水环境整治。</w:t>
      </w:r>
      <w:r>
        <w:rPr>
          <w:rFonts w:eastAsia="仿宋"/>
          <w:color w:val="000000" w:themeColor="text1"/>
          <w:kern w:val="0"/>
          <w:szCs w:val="32"/>
        </w:rPr>
        <w:t>继续推进《资江流域益阳段锑污染整治三年行动实施方案》，</w:t>
      </w:r>
      <w:r>
        <w:rPr>
          <w:rFonts w:hint="eastAsia" w:eastAsia="仿宋"/>
          <w:color w:val="000000" w:themeColor="text1"/>
          <w:kern w:val="0"/>
          <w:szCs w:val="32"/>
        </w:rPr>
        <w:t>按照实施方案要求对辖区内</w:t>
      </w:r>
      <w:r>
        <w:rPr>
          <w:rFonts w:eastAsia="仿宋"/>
          <w:color w:val="000000" w:themeColor="text1"/>
          <w:kern w:val="0"/>
          <w:szCs w:val="32"/>
        </w:rPr>
        <w:t>支流开展长期跟踪监测。</w:t>
      </w:r>
      <w:r>
        <w:rPr>
          <w:rFonts w:eastAsia="仿宋"/>
          <w:color w:val="000000" w:themeColor="text1"/>
          <w:szCs w:val="32"/>
        </w:rPr>
        <w:t>统筹推进黄家湖环境治理，明确水环境控制单元和污染物防治重点，加强总量控制和污染治理基础设施建设，科学调度保障生态流量，积极开展水生态修复工程，全力整治畜禽养殖污染，切实改善水环境质量。</w:t>
      </w:r>
      <w:bookmarkStart w:id="42" w:name="_Toc39755866"/>
    </w:p>
    <w:p>
      <w:pPr>
        <w:spacing w:line="590" w:lineRule="exact"/>
        <w:ind w:firstLine="643" w:firstLineChars="200"/>
        <w:rPr>
          <w:color w:val="000000" w:themeColor="text1"/>
          <w:kern w:val="0"/>
          <w:szCs w:val="32"/>
        </w:rPr>
      </w:pPr>
      <w:r>
        <w:rPr>
          <w:rFonts w:eastAsia="仿宋"/>
          <w:b/>
          <w:bCs/>
          <w:color w:val="000000" w:themeColor="text1"/>
          <w:szCs w:val="32"/>
        </w:rPr>
        <w:t>推进入河排污口排查整治。</w:t>
      </w:r>
      <w:r>
        <w:rPr>
          <w:rFonts w:eastAsia="仿宋"/>
          <w:color w:val="000000" w:themeColor="text1"/>
          <w:szCs w:val="32"/>
        </w:rPr>
        <w:t>全面掌握入河排污口数量及分布，结合目前已有排查整治专项行动成果，在全</w:t>
      </w:r>
      <w:r>
        <w:rPr>
          <w:rFonts w:hint="eastAsia" w:eastAsia="仿宋"/>
          <w:color w:val="000000" w:themeColor="text1"/>
          <w:szCs w:val="32"/>
        </w:rPr>
        <w:t>区</w:t>
      </w:r>
      <w:r>
        <w:rPr>
          <w:rFonts w:eastAsia="仿宋"/>
          <w:color w:val="000000" w:themeColor="text1"/>
          <w:szCs w:val="32"/>
        </w:rPr>
        <w:t>各流域进一步展开入河排污口排查工作，彻底摸清入河排污口底数，全面掌握各流域入河排污口的数量及其分布，建立入河排污口名录，初步建成统一的流域排污口信息管理系统。开展入河排污口水质环境监测，完成各流域排污口监测网络建设，全面掌握入河排污口水质数据，开展入河排污口溯源分析，查清污染物来源。在入河排污口排查的基础上，确定禁止设置排污区域和限制设置排污区域，优化排污口设置布局，按照不同类型排污口特征，分类制定限制区排污口管控要求，按照“取缔一批、合并一批、改造一批”的原则，制定实施整治方案，开展入河口水质深度处理、人工促进植被修复、人工投放净水生物工程等生态环境修复。建立优化入河排污口管理长效机制，健全分级入河排污口排查、监测、溯源、整治等工作规范体系，完善生态补偿机制。加快推进入河排污口规范化建设，确保实现“一口一档”</w:t>
      </w:r>
      <w:r>
        <w:rPr>
          <w:rFonts w:hint="eastAsia" w:eastAsia="仿宋"/>
          <w:color w:val="000000" w:themeColor="text1"/>
          <w:szCs w:val="32"/>
        </w:rPr>
        <w:t>，</w:t>
      </w:r>
      <w:r>
        <w:rPr>
          <w:rFonts w:hint="eastAsia"/>
          <w:color w:val="000000" w:themeColor="text1"/>
          <w:kern w:val="0"/>
          <w:szCs w:val="32"/>
        </w:rPr>
        <w:t>完成市规划指标要求。</w:t>
      </w:r>
    </w:p>
    <w:bookmarkEnd w:id="42"/>
    <w:p>
      <w:pPr>
        <w:spacing w:line="590" w:lineRule="exact"/>
        <w:ind w:firstLine="643" w:firstLineChars="200"/>
        <w:rPr>
          <w:szCs w:val="32"/>
        </w:rPr>
      </w:pPr>
      <w:r>
        <w:rPr>
          <w:rFonts w:eastAsia="仿宋"/>
          <w:b/>
          <w:bCs/>
          <w:color w:val="000000" w:themeColor="text1"/>
          <w:szCs w:val="32"/>
        </w:rPr>
        <w:t>强化污水处理基础设施建设。</w:t>
      </w:r>
      <w:r>
        <w:rPr>
          <w:szCs w:val="32"/>
        </w:rPr>
        <w:t>加快推进城镇污水管网建设及雨污分流改造，提高城市生活污水集中收集率</w:t>
      </w:r>
      <w:r>
        <w:rPr>
          <w:rFonts w:hint="eastAsia" w:eastAsia="仿宋"/>
          <w:color w:val="000000" w:themeColor="text1"/>
          <w:sz w:val="24"/>
          <w:szCs w:val="24"/>
          <w:lang w:val="zh-CN"/>
        </w:rPr>
        <w:t>，</w:t>
      </w:r>
      <w:r>
        <w:rPr>
          <w:szCs w:val="32"/>
        </w:rPr>
        <w:t>城市建成区基本无生活污水直排口，</w:t>
      </w:r>
      <w:r>
        <w:rPr>
          <w:szCs w:val="32"/>
          <w:lang w:val="zh-CN"/>
        </w:rPr>
        <w:t>到2025年，城市生活污水集中收集率达到70%。完善乡镇污水处理设施及配套管网建设，加强</w:t>
      </w:r>
      <w:r>
        <w:rPr>
          <w:szCs w:val="32"/>
        </w:rPr>
        <w:t>干支管网和入户管接驳改造，</w:t>
      </w:r>
      <w:r>
        <w:rPr>
          <w:szCs w:val="32"/>
          <w:lang w:val="zh-CN"/>
        </w:rPr>
        <w:t>提高乡镇污水处理设施覆盖率，到2025年，乡镇污水处理率达到85%。因地制宜推动污水处理厂通过人工湿地等措施</w:t>
      </w:r>
      <w:r>
        <w:rPr>
          <w:szCs w:val="32"/>
        </w:rPr>
        <w:t>进一步</w:t>
      </w:r>
      <w:r>
        <w:rPr>
          <w:szCs w:val="32"/>
          <w:lang w:val="zh-CN"/>
        </w:rPr>
        <w:t>提升</w:t>
      </w:r>
      <w:r>
        <w:rPr>
          <w:szCs w:val="32"/>
        </w:rPr>
        <w:t>出水</w:t>
      </w:r>
      <w:r>
        <w:rPr>
          <w:szCs w:val="32"/>
          <w:lang w:val="zh-CN"/>
        </w:rPr>
        <w:t>水质。确保污泥无害化处理处置能力与污水处理规模匹配，完善配套污泥处理处置设施建设，提升污泥资源化利用。</w:t>
      </w:r>
    </w:p>
    <w:p>
      <w:pPr>
        <w:pStyle w:val="6"/>
        <w:ind w:firstLine="643" w:firstLineChars="200"/>
        <w:rPr>
          <w:rFonts w:eastAsia="仿宋"/>
          <w:color w:val="000000"/>
          <w:kern w:val="0"/>
          <w:szCs w:val="32"/>
        </w:rPr>
      </w:pPr>
      <w:bookmarkStart w:id="43" w:name="_Toc39755871"/>
      <w:bookmarkStart w:id="44" w:name="_Toc39755874"/>
      <w:r>
        <w:rPr>
          <w:rFonts w:eastAsia="仿宋"/>
          <w:b/>
          <w:bCs/>
          <w:color w:val="000000" w:themeColor="text1"/>
          <w:szCs w:val="32"/>
        </w:rPr>
        <w:t>推进工业水污染防治</w:t>
      </w:r>
      <w:bookmarkEnd w:id="43"/>
      <w:r>
        <w:rPr>
          <w:rFonts w:eastAsia="仿宋"/>
          <w:b/>
          <w:bCs/>
          <w:color w:val="000000" w:themeColor="text1"/>
          <w:szCs w:val="32"/>
        </w:rPr>
        <w:t>。</w:t>
      </w:r>
      <w:r>
        <w:rPr>
          <w:rFonts w:hint="eastAsia" w:eastAsia="仿宋"/>
          <w:color w:val="000000"/>
          <w:kern w:val="0"/>
          <w:szCs w:val="32"/>
        </w:rPr>
        <w:t>推进重点行业，重点区域绿色发展，加强农副产品加工、电子电路制造、医药、食品、电镀等行业整治提升严格工业园区水污染管控要求，加强对重金属、有机有毒等特征水污染物监管。</w:t>
      </w:r>
      <w:r>
        <w:rPr>
          <w:rFonts w:eastAsia="仿宋"/>
          <w:color w:val="000000" w:themeColor="text1"/>
          <w:szCs w:val="32"/>
        </w:rPr>
        <w:t>加大园区污水处理厂配套管网建设，强化园区水资源节约和循环利用，提升水资源管理水平，实现</w:t>
      </w:r>
      <w:r>
        <w:rPr>
          <w:color w:val="000000"/>
          <w:kern w:val="0"/>
          <w:szCs w:val="32"/>
        </w:rPr>
        <w:t>进出水水质在线监控并联网正常</w:t>
      </w:r>
      <w:r>
        <w:rPr>
          <w:rFonts w:eastAsia="仿宋"/>
          <w:color w:val="000000"/>
          <w:kern w:val="0"/>
          <w:szCs w:val="32"/>
        </w:rPr>
        <w:t>，规范设置园区集中污水处理设施排污口，完善园区水环境管理“一园一档”。开展涉水污染排放企业排查、清理和整治工作，严格禁止已经取缔“十小”企业反弹，加快推动水污染重点企业清洁化改造，推动工业企业全面达标排放。严格执行污水特别排放限值和水污染物排放新标准，实行排污许可证制度和排污总量控制，严禁企业无证或超标、超总量排污。</w:t>
      </w:r>
    </w:p>
    <w:bookmarkEnd w:id="44"/>
    <w:p>
      <w:pPr>
        <w:spacing w:line="590" w:lineRule="exact"/>
        <w:ind w:firstLine="643" w:firstLineChars="200"/>
        <w:rPr>
          <w:rFonts w:eastAsia="仿宋"/>
          <w:color w:val="000000" w:themeColor="text1"/>
          <w:sz w:val="30"/>
          <w:szCs w:val="30"/>
        </w:rPr>
      </w:pPr>
      <w:r>
        <w:rPr>
          <w:rFonts w:eastAsia="仿宋"/>
          <w:b/>
          <w:bCs/>
          <w:color w:val="000000" w:themeColor="text1"/>
          <w:szCs w:val="32"/>
        </w:rPr>
        <w:t>开展移动源水污染防治。</w:t>
      </w:r>
      <w:r>
        <w:rPr>
          <w:rFonts w:eastAsia="仿宋"/>
          <w:color w:val="000000" w:themeColor="text1"/>
          <w:szCs w:val="32"/>
        </w:rPr>
        <w:t>严格船舶检验管理，推动老旧及难以达标船舶淘汰。加强船舶污染治理，依法配备废油、粪便、污水、垃圾等污染物、废弃物收集设施或者无害化处理设施，禁止向水体排放、弃置污染物和废弃物；建立船舶污染源台账，明确通航生态环境保护要求，将船舶生活污水和船舶垃圾纳入城市市政污水和垃圾统一管理范畴，确保船舶油污水（废油）及时有效转运处置。</w:t>
      </w:r>
      <w:r>
        <w:rPr>
          <w:rFonts w:eastAsia="仿宋"/>
          <w:szCs w:val="32"/>
        </w:rPr>
        <w:t>加强港口污染控制，</w:t>
      </w:r>
      <w:r>
        <w:rPr>
          <w:rFonts w:eastAsia="仿宋"/>
          <w:color w:val="000000" w:themeColor="text1"/>
          <w:szCs w:val="32"/>
          <w:lang w:val="zh-CN"/>
        </w:rPr>
        <w:t>保障</w:t>
      </w:r>
      <w:r>
        <w:rPr>
          <w:rFonts w:eastAsia="仿宋"/>
          <w:color w:val="000000" w:themeColor="text1"/>
          <w:szCs w:val="32"/>
        </w:rPr>
        <w:t>资阳区甘溪港船舶水污染物接收转运处置正常运营。</w:t>
      </w:r>
    </w:p>
    <w:p>
      <w:pPr>
        <w:spacing w:line="590" w:lineRule="exact"/>
        <w:ind w:firstLine="643" w:firstLineChars="200"/>
        <w:outlineLvl w:val="1"/>
        <w:rPr>
          <w:rFonts w:eastAsia="楷体"/>
          <w:b/>
          <w:bCs/>
          <w:szCs w:val="32"/>
        </w:rPr>
      </w:pPr>
      <w:bookmarkStart w:id="45" w:name="_Toc98755273"/>
      <w:r>
        <w:rPr>
          <w:rFonts w:eastAsia="楷体"/>
          <w:b/>
          <w:bCs/>
          <w:szCs w:val="32"/>
        </w:rPr>
        <w:t>（三）强化水资源保障与利用</w:t>
      </w:r>
      <w:bookmarkEnd w:id="45"/>
    </w:p>
    <w:p>
      <w:pPr>
        <w:spacing w:line="590" w:lineRule="exact"/>
        <w:ind w:firstLine="640" w:firstLineChars="200"/>
        <w:rPr>
          <w:rFonts w:eastAsia="仿宋"/>
          <w:color w:val="000000" w:themeColor="text1"/>
          <w:szCs w:val="32"/>
        </w:rPr>
      </w:pPr>
      <w:r>
        <w:rPr>
          <w:rFonts w:eastAsia="仿宋"/>
          <w:color w:val="000000" w:themeColor="text1"/>
          <w:szCs w:val="32"/>
        </w:rPr>
        <w:t>在重点排污口下游、河流入湖口、支流入干流处，因地制宜实施区域再生水循环利用工程。推进工业生产、园林绿化、道路清洗、车辆冲洗、建筑施工等领域优先使用再生水。</w:t>
      </w:r>
    </w:p>
    <w:p>
      <w:pPr>
        <w:spacing w:line="590" w:lineRule="exact"/>
        <w:ind w:firstLine="640" w:firstLineChars="200"/>
        <w:rPr>
          <w:rFonts w:eastAsia="仿宋"/>
          <w:color w:val="000000" w:themeColor="text1"/>
          <w:szCs w:val="32"/>
        </w:rPr>
      </w:pPr>
      <w:r>
        <w:rPr>
          <w:rFonts w:eastAsia="仿宋"/>
          <w:color w:val="000000" w:themeColor="text1"/>
          <w:szCs w:val="32"/>
        </w:rPr>
        <w:t>建立最严格的水资源管理制度，推进节水型社会建设。强化取水总量控制和需水管理，建立健全用水定额指标体系，强化节水考核管理，到2025年全</w:t>
      </w:r>
      <w:r>
        <w:rPr>
          <w:rFonts w:hint="eastAsia" w:eastAsia="仿宋"/>
          <w:color w:val="000000" w:themeColor="text1"/>
          <w:szCs w:val="32"/>
        </w:rPr>
        <w:t>区</w:t>
      </w:r>
      <w:r>
        <w:rPr>
          <w:rFonts w:eastAsia="仿宋"/>
          <w:color w:val="000000" w:themeColor="text1"/>
          <w:szCs w:val="32"/>
        </w:rPr>
        <w:t>用水总量控制在23.5亿立方米以内，万元工业增加值用水量控制在51立方米。鼓励用水行业利用现代信息技术提高节水管理水平，加快用水、节水管理信息系统建设，开展用水量在线监测。统筹推进城乡生活节水，完善“阶梯式水价”制度，推动节水器具普及，到2025年，节水器具普及率达到90%。</w:t>
      </w:r>
    </w:p>
    <w:p>
      <w:pPr>
        <w:spacing w:line="590" w:lineRule="exact"/>
        <w:rPr>
          <w:rFonts w:eastAsia="仿宋"/>
          <w:color w:val="000000" w:themeColor="text1"/>
          <w:szCs w:val="32"/>
        </w:rPr>
      </w:pPr>
      <w:bookmarkStart w:id="46" w:name="_Toc39755875"/>
      <w:r>
        <w:rPr>
          <w:rFonts w:eastAsia="仿宋"/>
          <w:color w:val="000000" w:themeColor="text1"/>
          <w:szCs w:val="32"/>
        </w:rPr>
        <w:br w:type="page"/>
      </w:r>
    </w:p>
    <w:bookmarkEnd w:id="46"/>
    <w:p>
      <w:pPr>
        <w:pStyle w:val="4"/>
        <w:spacing w:before="0" w:after="0" w:line="590" w:lineRule="exact"/>
        <w:rPr>
          <w:rFonts w:ascii="Times New Roman" w:hAnsi="Times New Roman" w:eastAsia="黑体" w:cs="Times New Roman"/>
          <w:b w:val="0"/>
          <w:bCs w:val="0"/>
          <w:color w:val="000000" w:themeColor="text1"/>
        </w:rPr>
      </w:pPr>
      <w:bookmarkStart w:id="47" w:name="_Toc98755274"/>
      <w:r>
        <w:rPr>
          <w:rFonts w:ascii="Times New Roman" w:hAnsi="Times New Roman" w:eastAsia="黑体" w:cs="Times New Roman"/>
          <w:b w:val="0"/>
          <w:bCs w:val="0"/>
          <w:color w:val="000000" w:themeColor="text1"/>
        </w:rPr>
        <w:t>七、</w:t>
      </w:r>
      <w:r>
        <w:rPr>
          <w:rFonts w:hint="eastAsia" w:ascii="Times New Roman" w:hAnsi="Times New Roman" w:eastAsia="黑体" w:cs="Times New Roman"/>
          <w:b w:val="0"/>
          <w:bCs w:val="0"/>
          <w:color w:val="000000" w:themeColor="text1"/>
        </w:rPr>
        <w:t>加强土壤和地下水污染防治</w:t>
      </w:r>
      <w:bookmarkEnd w:id="47"/>
    </w:p>
    <w:p>
      <w:pPr>
        <w:spacing w:line="590" w:lineRule="exact"/>
        <w:ind w:firstLine="643" w:firstLineChars="200"/>
        <w:outlineLvl w:val="1"/>
        <w:rPr>
          <w:rFonts w:eastAsia="楷体"/>
          <w:b/>
          <w:bCs/>
          <w:szCs w:val="32"/>
        </w:rPr>
      </w:pPr>
      <w:bookmarkStart w:id="48" w:name="_Toc98755275"/>
      <w:bookmarkStart w:id="49" w:name="_Toc39765090"/>
      <w:r>
        <w:rPr>
          <w:rFonts w:eastAsia="楷体"/>
          <w:b/>
          <w:bCs/>
          <w:szCs w:val="32"/>
        </w:rPr>
        <w:t>（一）加强土壤污染源头预防</w:t>
      </w:r>
      <w:bookmarkEnd w:id="48"/>
    </w:p>
    <w:p>
      <w:pPr>
        <w:spacing w:line="600" w:lineRule="exact"/>
        <w:ind w:firstLine="640" w:firstLineChars="200"/>
        <w:jc w:val="left"/>
        <w:rPr>
          <w:rFonts w:eastAsia="仿宋"/>
          <w:color w:val="000000" w:themeColor="text1"/>
          <w:szCs w:val="32"/>
        </w:rPr>
      </w:pPr>
      <w:r>
        <w:rPr>
          <w:rFonts w:hint="eastAsia" w:eastAsia="仿宋"/>
          <w:color w:val="000000" w:themeColor="text1"/>
          <w:szCs w:val="32"/>
        </w:rPr>
        <w:t>加强土壤重点污染源管控，防范新增土壤污染。动态更新土壤污染重点监管单位名录，详查土壤污染状况及污染地块分布，掌握污染地块环境风险情况，建立污染地块清单和优先管控名录。抓好土壤污染重点监管单位土壤污染防治责任义务落实，从源头上防范土壤污染。</w:t>
      </w:r>
    </w:p>
    <w:p>
      <w:pPr>
        <w:spacing w:line="600" w:lineRule="exact"/>
        <w:ind w:firstLine="640" w:firstLineChars="200"/>
        <w:jc w:val="left"/>
        <w:rPr>
          <w:rFonts w:eastAsia="仿宋"/>
          <w:color w:val="000000" w:themeColor="text1"/>
          <w:szCs w:val="32"/>
        </w:rPr>
      </w:pPr>
      <w:r>
        <w:rPr>
          <w:rFonts w:hint="eastAsia" w:eastAsia="仿宋"/>
          <w:color w:val="000000" w:themeColor="text1"/>
          <w:szCs w:val="32"/>
        </w:rPr>
        <w:t>加强耕地土壤污染源头控制。查明农用地土壤污染的面积、分布、主要污染物和污染程度。持续开展重金属土壤污染综合防治，深入推进重点区域综合整治。持续推进耕地周边涉重金属行业企业排查整治，实施涉重污染源动态更新，及时开展整治工作。</w:t>
      </w:r>
    </w:p>
    <w:p>
      <w:pPr>
        <w:spacing w:line="590" w:lineRule="exact"/>
        <w:ind w:firstLine="643" w:firstLineChars="200"/>
        <w:outlineLvl w:val="1"/>
        <w:rPr>
          <w:rFonts w:eastAsia="楷体"/>
          <w:b/>
          <w:bCs/>
          <w:szCs w:val="32"/>
        </w:rPr>
      </w:pPr>
      <w:bookmarkStart w:id="50" w:name="_Toc98755276"/>
      <w:r>
        <w:rPr>
          <w:rFonts w:eastAsia="楷体"/>
          <w:b/>
          <w:bCs/>
          <w:szCs w:val="32"/>
        </w:rPr>
        <w:t>（二）提升农用地安全利用水平</w:t>
      </w:r>
      <w:bookmarkEnd w:id="50"/>
    </w:p>
    <w:p>
      <w:pPr>
        <w:spacing w:line="590" w:lineRule="exact"/>
        <w:ind w:firstLine="640" w:firstLineChars="200"/>
        <w:rPr>
          <w:rFonts w:eastAsia="仿宋"/>
          <w:color w:val="000000" w:themeColor="text1"/>
          <w:szCs w:val="32"/>
        </w:rPr>
      </w:pPr>
      <w:r>
        <w:rPr>
          <w:rFonts w:eastAsia="仿宋"/>
          <w:color w:val="000000" w:themeColor="text1"/>
          <w:szCs w:val="32"/>
        </w:rPr>
        <w:t>加强耕地分类管理，对耕地土壤环境质量类别单元进行动态调整，优先保护未污染和轻微污染耕地；继续开展安全利用区轻中度污染耕地修复治理，推广实施改良酸性土壤、改革施肥技术、改善灌溉方式、改进耕种措施、改变越冬状况、改选适宜品种等“六改”技术；采取种植结构调整、休耕等措施严格管控重度污染耕地，保障农产品质量安全和人居环境安全底线。禁止向农用地排放、倾倒未无害化处理达标的固体废物、工业废水（尤其含重金属废水）或者医疗污水、严防灌溉用水污染土壤、地下水和农产品；突出抓好农膜、农药包装废弃物等农业生产废弃物处理处置和资源化利用，确保从源头切断污染物进入农用地。加强耕地土壤与农产品重金属污染加密调查，耕地污染成因排查分析，持续推进涉镉等重金属污染源排查整治工作。</w:t>
      </w:r>
    </w:p>
    <w:p>
      <w:pPr>
        <w:spacing w:line="590" w:lineRule="exact"/>
        <w:ind w:firstLine="643" w:firstLineChars="200"/>
        <w:outlineLvl w:val="1"/>
        <w:rPr>
          <w:rFonts w:eastAsia="楷体"/>
          <w:b/>
          <w:bCs/>
          <w:szCs w:val="32"/>
        </w:rPr>
      </w:pPr>
      <w:bookmarkStart w:id="51" w:name="_Toc98755277"/>
      <w:r>
        <w:rPr>
          <w:rFonts w:eastAsia="楷体"/>
          <w:b/>
          <w:bCs/>
          <w:szCs w:val="32"/>
        </w:rPr>
        <w:t>（三）落实</w:t>
      </w:r>
      <w:r>
        <w:rPr>
          <w:rFonts w:eastAsia="楷体"/>
          <w:b/>
          <w:bCs/>
          <w:szCs w:val="32"/>
          <w:lang w:val="zh-CN"/>
        </w:rPr>
        <w:t>建设用地风险管控和修复</w:t>
      </w:r>
      <w:bookmarkEnd w:id="51"/>
    </w:p>
    <w:p>
      <w:pPr>
        <w:pStyle w:val="16"/>
        <w:widowControl/>
        <w:spacing w:line="590" w:lineRule="exact"/>
        <w:ind w:firstLine="640" w:firstLineChars="200"/>
        <w:rPr>
          <w:rFonts w:eastAsia="仿宋"/>
          <w:color w:val="000000" w:themeColor="text1"/>
          <w:sz w:val="32"/>
          <w:szCs w:val="32"/>
        </w:rPr>
      </w:pPr>
      <w:r>
        <w:rPr>
          <w:rFonts w:eastAsia="仿宋"/>
          <w:color w:val="000000" w:themeColor="text1"/>
          <w:sz w:val="32"/>
          <w:szCs w:val="32"/>
        </w:rPr>
        <w:t>严格落实建设用地土壤污染风险管控和修复名录制度，做好</w:t>
      </w:r>
      <w:r>
        <w:rPr>
          <w:rFonts w:eastAsia="仿宋"/>
          <w:color w:val="000000" w:themeColor="text1"/>
          <w:kern w:val="2"/>
          <w:sz w:val="32"/>
          <w:szCs w:val="32"/>
        </w:rPr>
        <w:t>全过程监管，严格修复方案审查，加强修复过程监督和检查，由第三方对损害状况、修复成效进行评估。</w:t>
      </w:r>
      <w:r>
        <w:rPr>
          <w:rFonts w:eastAsia="仿宋"/>
          <w:color w:val="000000" w:themeColor="text1"/>
          <w:sz w:val="32"/>
          <w:szCs w:val="32"/>
        </w:rPr>
        <w:t>加强涉重金属行业污染治理，持续推进涉重金属污染源排查整治工作，对整治清单进行查漏补缺，建立土壤重点企业监管动态更新清单，制定、实施自行监测方案，并将监测数据报生态环境主管部门。建立健全部门联合监管</w:t>
      </w:r>
      <w:r>
        <w:fldChar w:fldCharType="begin"/>
      </w:r>
      <w:r>
        <w:instrText xml:space="preserve"> HYPERLINK "http://baike.eastmoney.com/item/%E6%9C%BA%E5%88%B6" \t "http://finance.eastmoney.com/a/_blank" </w:instrText>
      </w:r>
      <w:r>
        <w:fldChar w:fldCharType="separate"/>
      </w:r>
      <w:r>
        <w:rPr>
          <w:rFonts w:eastAsia="仿宋"/>
          <w:color w:val="000000" w:themeColor="text1"/>
          <w:sz w:val="32"/>
          <w:szCs w:val="32"/>
        </w:rPr>
        <w:t>机制</w:t>
      </w:r>
      <w:r>
        <w:rPr>
          <w:rFonts w:eastAsia="仿宋"/>
          <w:color w:val="000000" w:themeColor="text1"/>
          <w:sz w:val="32"/>
          <w:szCs w:val="32"/>
        </w:rPr>
        <w:fldChar w:fldCharType="end"/>
      </w:r>
      <w:r>
        <w:rPr>
          <w:rFonts w:eastAsia="仿宋"/>
          <w:color w:val="000000" w:themeColor="text1"/>
          <w:sz w:val="32"/>
          <w:szCs w:val="32"/>
        </w:rPr>
        <w:t>，完善并强化建设用地准入管理，重点加强对土壤污染重点监管单位</w:t>
      </w:r>
      <w:r>
        <w:fldChar w:fldCharType="begin"/>
      </w:r>
      <w:r>
        <w:instrText xml:space="preserve"> HYPERLINK "http://baike.eastmoney.com/item/%E7%94%9F%E4%BA%A7%E7%BB%8F%E8%90%A5" \t "http://finance.eastmoney.com/a/_blank" </w:instrText>
      </w:r>
      <w:r>
        <w:fldChar w:fldCharType="separate"/>
      </w:r>
      <w:r>
        <w:rPr>
          <w:rFonts w:eastAsia="仿宋"/>
          <w:color w:val="000000" w:themeColor="text1"/>
          <w:sz w:val="32"/>
          <w:szCs w:val="32"/>
        </w:rPr>
        <w:t>生产经营</w:t>
      </w:r>
      <w:r>
        <w:rPr>
          <w:rFonts w:eastAsia="仿宋"/>
          <w:color w:val="000000" w:themeColor="text1"/>
          <w:sz w:val="32"/>
          <w:szCs w:val="32"/>
        </w:rPr>
        <w:fldChar w:fldCharType="end"/>
      </w:r>
      <w:r>
        <w:rPr>
          <w:rFonts w:eastAsia="仿宋"/>
          <w:color w:val="000000" w:themeColor="text1"/>
          <w:sz w:val="32"/>
          <w:szCs w:val="32"/>
        </w:rPr>
        <w:t>用地的用途变更及</w:t>
      </w:r>
      <w:r>
        <w:fldChar w:fldCharType="begin"/>
      </w:r>
      <w:r>
        <w:instrText xml:space="preserve"> HYPERLINK "http://baike.eastmoney.com/item/%E4%BD%BF%E7%94%A8%E6%9D%83" \t "http://finance.eastmoney.com/a/_blank" </w:instrText>
      </w:r>
      <w:r>
        <w:fldChar w:fldCharType="separate"/>
      </w:r>
      <w:r>
        <w:rPr>
          <w:rFonts w:eastAsia="仿宋"/>
          <w:color w:val="000000" w:themeColor="text1"/>
          <w:sz w:val="32"/>
          <w:szCs w:val="32"/>
        </w:rPr>
        <w:t>使用权</w:t>
      </w:r>
      <w:r>
        <w:rPr>
          <w:rFonts w:eastAsia="仿宋"/>
          <w:color w:val="000000" w:themeColor="text1"/>
          <w:sz w:val="32"/>
          <w:szCs w:val="32"/>
        </w:rPr>
        <w:fldChar w:fldCharType="end"/>
      </w:r>
      <w:r>
        <w:rPr>
          <w:rFonts w:eastAsia="仿宋"/>
          <w:color w:val="000000" w:themeColor="text1"/>
          <w:sz w:val="32"/>
          <w:szCs w:val="32"/>
        </w:rPr>
        <w:t>转让的监管。建立信息共享机制，把土地污染防治设为土地征收、收储、供应等环节的前置条件，对不符合相关要求的土地实行供应“一票否决”。</w:t>
      </w:r>
    </w:p>
    <w:p>
      <w:pPr>
        <w:spacing w:line="590" w:lineRule="exact"/>
        <w:ind w:firstLine="643" w:firstLineChars="200"/>
        <w:outlineLvl w:val="1"/>
        <w:rPr>
          <w:rFonts w:eastAsia="楷体"/>
          <w:b/>
          <w:bCs/>
          <w:szCs w:val="32"/>
        </w:rPr>
      </w:pPr>
      <w:bookmarkStart w:id="52" w:name="_Toc98755278"/>
      <w:r>
        <w:rPr>
          <w:rFonts w:eastAsia="楷体"/>
          <w:b/>
          <w:bCs/>
          <w:szCs w:val="32"/>
        </w:rPr>
        <w:t>（四）</w:t>
      </w:r>
      <w:bookmarkEnd w:id="49"/>
      <w:r>
        <w:rPr>
          <w:rFonts w:hint="eastAsia" w:eastAsia="楷体"/>
          <w:b/>
          <w:bCs/>
          <w:szCs w:val="32"/>
        </w:rPr>
        <w:t>加强地下水环境风险防控</w:t>
      </w:r>
      <w:bookmarkEnd w:id="52"/>
    </w:p>
    <w:p>
      <w:pPr>
        <w:pStyle w:val="16"/>
        <w:widowControl/>
        <w:spacing w:line="590" w:lineRule="exact"/>
        <w:ind w:firstLine="640" w:firstLineChars="200"/>
        <w:rPr>
          <w:rFonts w:eastAsia="仿宋"/>
          <w:color w:val="000000" w:themeColor="text1"/>
          <w:sz w:val="32"/>
          <w:szCs w:val="32"/>
        </w:rPr>
      </w:pPr>
      <w:r>
        <w:rPr>
          <w:rFonts w:hint="eastAsia" w:eastAsia="仿宋"/>
          <w:color w:val="000000" w:themeColor="text1"/>
          <w:sz w:val="32"/>
          <w:szCs w:val="32"/>
        </w:rPr>
        <w:t>强化地下水污染源头预防。新建、改建、扩建项目涉及土壤、地下水污染的，环境影响评价开展时按要求进行土壤和地下水环境现状调查，分析土壤和地下水环境现状调以及可能造成的不良影响，并提出相应预防措施。</w:t>
      </w:r>
    </w:p>
    <w:p>
      <w:pPr>
        <w:pStyle w:val="16"/>
        <w:widowControl/>
        <w:spacing w:line="590" w:lineRule="exact"/>
        <w:ind w:firstLine="640" w:firstLineChars="200"/>
        <w:rPr>
          <w:rFonts w:eastAsia="仿宋"/>
          <w:color w:val="000000" w:themeColor="text1"/>
          <w:sz w:val="32"/>
          <w:szCs w:val="32"/>
        </w:rPr>
      </w:pPr>
      <w:r>
        <w:rPr>
          <w:rFonts w:hint="eastAsia" w:eastAsia="仿宋"/>
          <w:color w:val="000000" w:themeColor="text1"/>
          <w:sz w:val="32"/>
          <w:szCs w:val="32"/>
        </w:rPr>
        <w:t>针对益阳市新材料产业园，制定地下水污染风险防控方案，定期开展周边地下水监测，实施地下水污染风险管控专项执法行动，完成省市下发的关于辖区内</w:t>
      </w:r>
      <w:r>
        <w:rPr>
          <w:rFonts w:eastAsia="仿宋"/>
          <w:color w:val="000000" w:themeColor="text1"/>
          <w:sz w:val="32"/>
          <w:szCs w:val="32"/>
        </w:rPr>
        <w:t>地下水环境状况调查评估</w:t>
      </w:r>
      <w:r>
        <w:rPr>
          <w:rFonts w:hint="eastAsia" w:eastAsia="仿宋"/>
          <w:color w:val="000000" w:themeColor="text1"/>
          <w:sz w:val="32"/>
          <w:szCs w:val="32"/>
        </w:rPr>
        <w:t>及实施方案的任务。</w:t>
      </w:r>
      <w:r>
        <w:rPr>
          <w:rFonts w:eastAsia="仿宋"/>
          <w:color w:val="000000" w:themeColor="text1"/>
          <w:sz w:val="32"/>
          <w:szCs w:val="32"/>
          <w:lang w:val="zh-CN"/>
        </w:rPr>
        <w:t>持</w:t>
      </w:r>
      <w:r>
        <w:rPr>
          <w:rFonts w:eastAsia="仿宋"/>
          <w:color w:val="000000" w:themeColor="text1"/>
          <w:sz w:val="32"/>
          <w:szCs w:val="32"/>
        </w:rPr>
        <w:t>续推进新建、迁建或改扩建加油站安装使用埋地双层油罐工作。2025年底前，建立健全地下水资源开发利用、地下水污染状况调查评估、地下水污染风险防控和修复、地下水环境监测等相关制度，实现地下水污染防治全面监管。</w:t>
      </w:r>
    </w:p>
    <w:p>
      <w:pPr>
        <w:spacing w:line="590" w:lineRule="exact"/>
        <w:ind w:firstLine="643" w:firstLineChars="200"/>
        <w:outlineLvl w:val="1"/>
        <w:rPr>
          <w:rFonts w:eastAsia="楷体"/>
          <w:b/>
          <w:bCs/>
          <w:szCs w:val="32"/>
        </w:rPr>
      </w:pPr>
      <w:bookmarkStart w:id="53" w:name="_Toc98755279"/>
      <w:r>
        <w:rPr>
          <w:rFonts w:eastAsia="楷体"/>
          <w:b/>
          <w:bCs/>
          <w:szCs w:val="32"/>
        </w:rPr>
        <w:t>（五）</w:t>
      </w:r>
      <w:r>
        <w:rPr>
          <w:rFonts w:hint="eastAsia" w:eastAsia="楷体"/>
          <w:b/>
          <w:bCs/>
          <w:szCs w:val="32"/>
        </w:rPr>
        <w:t>加强土壤与地下水的协同共治</w:t>
      </w:r>
      <w:bookmarkEnd w:id="53"/>
    </w:p>
    <w:p>
      <w:pPr>
        <w:pStyle w:val="16"/>
        <w:widowControl/>
        <w:spacing w:line="590" w:lineRule="exact"/>
        <w:ind w:firstLine="643" w:firstLineChars="200"/>
        <w:rPr>
          <w:rFonts w:eastAsia="仿宋"/>
          <w:color w:val="000000" w:themeColor="text1"/>
          <w:sz w:val="32"/>
          <w:szCs w:val="32"/>
        </w:rPr>
      </w:pPr>
      <w:r>
        <w:rPr>
          <w:rFonts w:hint="eastAsia" w:eastAsia="仿宋"/>
          <w:b/>
          <w:color w:val="000000" w:themeColor="text1"/>
          <w:sz w:val="32"/>
          <w:szCs w:val="32"/>
        </w:rPr>
        <w:t>土壤与地下水污染协同防治。</w:t>
      </w:r>
      <w:r>
        <w:rPr>
          <w:rFonts w:hint="eastAsia" w:eastAsia="仿宋"/>
          <w:color w:val="000000" w:themeColor="text1"/>
          <w:sz w:val="32"/>
          <w:szCs w:val="32"/>
        </w:rPr>
        <w:t>加快城镇污水管网更新改造，完善污水管网收集系统，减少管网渗漏。加快推进水环境综合整治，减少重污染河段侧渗和垂直补给污染地下水，重点控制地表水中氨氮、总磷、耗氧有机物超标对地下水影响。强化农用地、建设用地土壤与地下水污染协同防治，重点加强有色冶炼以及涉重金属污染防治中对地下水污染防治工作的协同，实施工业固体废物堆存场所环境调查和综合整治。落实化肥农药施用量和施用强度“双降”行动，开展废弃农膜回收利用和非正规垃圾堆放点排查整治，减轻农业源和生活源对地下水的影响。</w:t>
      </w:r>
    </w:p>
    <w:p>
      <w:pPr>
        <w:pStyle w:val="16"/>
        <w:widowControl/>
        <w:spacing w:line="590" w:lineRule="exact"/>
        <w:ind w:firstLine="640" w:firstLineChars="200"/>
        <w:rPr>
          <w:rFonts w:eastAsia="仿宋"/>
          <w:color w:val="000000" w:themeColor="text1"/>
          <w:sz w:val="32"/>
          <w:szCs w:val="32"/>
        </w:rPr>
      </w:pPr>
      <w:r>
        <w:rPr>
          <w:rFonts w:hint="eastAsia" w:eastAsia="仿宋"/>
          <w:color w:val="000000" w:themeColor="text1"/>
          <w:sz w:val="32"/>
          <w:szCs w:val="32"/>
        </w:rPr>
        <w:t>健全土壤与地下水环境监测体系。结合农用地调查评估、重点行业企业用地调查、地下水环境状况调查评估及分区划分的结果，优化现有布点位置、增加例行监测点位。</w:t>
      </w:r>
    </w:p>
    <w:p>
      <w:pPr>
        <w:pStyle w:val="27"/>
        <w:snapToGrid w:val="0"/>
        <w:rPr>
          <w:rFonts w:ascii="Times New Roman" w:hAnsi="Times New Roman" w:eastAsia="仿宋"/>
          <w:color w:val="000000" w:themeColor="text1"/>
          <w:sz w:val="32"/>
          <w:szCs w:val="32"/>
        </w:rPr>
      </w:pP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54" w:name="_Toc98755280"/>
      <w:r>
        <w:rPr>
          <w:rFonts w:ascii="Times New Roman" w:hAnsi="Times New Roman" w:eastAsia="黑体" w:cs="Times New Roman"/>
          <w:b w:val="0"/>
          <w:bCs w:val="0"/>
          <w:color w:val="000000" w:themeColor="text1"/>
        </w:rPr>
        <w:t>八、深入农村整治，提升人居环境</w:t>
      </w:r>
      <w:bookmarkEnd w:id="54"/>
    </w:p>
    <w:p>
      <w:pPr>
        <w:spacing w:line="590" w:lineRule="exact"/>
        <w:ind w:firstLine="643" w:firstLineChars="200"/>
        <w:outlineLvl w:val="1"/>
        <w:rPr>
          <w:rFonts w:eastAsia="楷体"/>
          <w:b/>
          <w:bCs/>
          <w:szCs w:val="32"/>
        </w:rPr>
      </w:pPr>
      <w:bookmarkStart w:id="55" w:name="_Toc98755281"/>
      <w:r>
        <w:rPr>
          <w:rFonts w:eastAsia="楷体"/>
          <w:b/>
          <w:bCs/>
          <w:szCs w:val="32"/>
        </w:rPr>
        <w:t>（一）加强农村饮用水源地保护</w:t>
      </w:r>
      <w:bookmarkEnd w:id="55"/>
    </w:p>
    <w:p>
      <w:pPr>
        <w:spacing w:line="590" w:lineRule="exact"/>
        <w:ind w:firstLine="640" w:firstLineChars="200"/>
        <w:rPr>
          <w:szCs w:val="32"/>
        </w:rPr>
      </w:pPr>
      <w:r>
        <w:rPr>
          <w:rFonts w:eastAsia="仿宋"/>
          <w:color w:val="000000" w:themeColor="text1"/>
          <w:szCs w:val="32"/>
        </w:rPr>
        <w:t>做好农村供水工程水源地选址、保护区综合整治、风险源排查防范及水质监测。2021年底前完成农村“千人”饮用水源保护区划分工作。以农村饮用水水源保护工作中存在的突出生态环境为重点，做好农村饮用水水源地环境问题排查整治工作。健全饮用水水源安全预警制度，制订突发污染事故应急预案。加强饮用水水源地环境监测能力建设，2022年和2023年底前分别实现乡镇和农村“千人”以上水源水质监测全覆盖。</w:t>
      </w:r>
    </w:p>
    <w:p>
      <w:pPr>
        <w:spacing w:line="590" w:lineRule="exact"/>
        <w:ind w:firstLine="643" w:firstLineChars="200"/>
        <w:outlineLvl w:val="1"/>
        <w:rPr>
          <w:rFonts w:eastAsia="楷体"/>
          <w:b/>
          <w:bCs/>
          <w:szCs w:val="32"/>
        </w:rPr>
      </w:pPr>
      <w:bookmarkStart w:id="56" w:name="_Toc98755282"/>
      <w:r>
        <w:rPr>
          <w:rFonts w:eastAsia="楷体"/>
          <w:b/>
          <w:bCs/>
          <w:szCs w:val="32"/>
        </w:rPr>
        <w:t>（二）深化农村生活污染治理</w:t>
      </w:r>
      <w:bookmarkEnd w:id="56"/>
    </w:p>
    <w:p>
      <w:pPr>
        <w:widowControl/>
        <w:spacing w:line="590" w:lineRule="exact"/>
        <w:ind w:firstLine="643" w:firstLineChars="200"/>
        <w:jc w:val="left"/>
        <w:rPr>
          <w:rFonts w:eastAsia="仿宋"/>
          <w:color w:val="000000" w:themeColor="text1"/>
          <w:szCs w:val="32"/>
        </w:rPr>
      </w:pPr>
      <w:r>
        <w:rPr>
          <w:rFonts w:eastAsia="仿宋"/>
          <w:b/>
          <w:bCs/>
          <w:color w:val="000000" w:themeColor="text1"/>
          <w:szCs w:val="32"/>
        </w:rPr>
        <w:t>完善农村生活污水处理体系。</w:t>
      </w:r>
      <w:r>
        <w:rPr>
          <w:rFonts w:eastAsia="仿宋"/>
          <w:color w:val="000000" w:themeColor="text1"/>
          <w:szCs w:val="32"/>
        </w:rPr>
        <w:t>按照</w:t>
      </w:r>
      <w:bookmarkStart w:id="57" w:name="_Toc15197"/>
      <w:r>
        <w:rPr>
          <w:rFonts w:hint="eastAsia" w:eastAsia="仿宋"/>
          <w:color w:val="000000" w:themeColor="text1"/>
          <w:szCs w:val="32"/>
        </w:rPr>
        <w:t>资阳区</w:t>
      </w:r>
      <w:r>
        <w:rPr>
          <w:rFonts w:eastAsia="仿宋"/>
          <w:color w:val="000000" w:themeColor="text1"/>
          <w:szCs w:val="32"/>
          <w:lang w:val="zh-CN"/>
        </w:rPr>
        <w:t>制定的农村生活污水治理</w:t>
      </w:r>
      <w:bookmarkEnd w:id="57"/>
      <w:r>
        <w:rPr>
          <w:rFonts w:eastAsia="仿宋"/>
          <w:color w:val="000000" w:themeColor="text1"/>
          <w:szCs w:val="32"/>
          <w:lang w:val="zh-CN"/>
        </w:rPr>
        <w:t>专项规划</w:t>
      </w:r>
      <w:r>
        <w:rPr>
          <w:rFonts w:eastAsia="仿宋"/>
          <w:color w:val="000000" w:themeColor="text1"/>
          <w:szCs w:val="32"/>
        </w:rPr>
        <w:t>，坚持“黑灰分离、资源化利用、就近就地分散处理优先，适度集中处理与纳管处理”的治理思路，以生态措施为主、工程措施为辅，采用集中与分散相结合的处理与资源化利用模式，以环境敏感区周边村庄、乡镇政府驻地和中心村为重点梯次推进农村生活污水治理</w:t>
      </w:r>
      <w:r>
        <w:rPr>
          <w:rFonts w:eastAsia="仿宋"/>
          <w:color w:val="000000" w:themeColor="text1"/>
          <w:szCs w:val="32"/>
          <w:lang w:val="zh-CN"/>
        </w:rPr>
        <w:t>。</w:t>
      </w:r>
      <w:r>
        <w:rPr>
          <w:rFonts w:eastAsia="仿宋"/>
          <w:color w:val="000000" w:themeColor="text1"/>
          <w:szCs w:val="32"/>
        </w:rPr>
        <w:t>加强改厕与农村生活污水治理有效衔接。鼓励各地结合实际，将厕所粪污、畜禽养殖废弃物一并处理并资源化利用。到2025年，</w:t>
      </w:r>
      <w:r>
        <w:rPr>
          <w:rFonts w:eastAsia="仿宋"/>
          <w:color w:val="000000" w:themeColor="text1"/>
          <w:szCs w:val="32"/>
          <w:lang w:val="zh-CN"/>
        </w:rPr>
        <w:t>全</w:t>
      </w:r>
      <w:r>
        <w:rPr>
          <w:rFonts w:hint="eastAsia" w:eastAsia="仿宋"/>
          <w:color w:val="000000" w:themeColor="text1"/>
          <w:szCs w:val="32"/>
        </w:rPr>
        <w:t>区</w:t>
      </w:r>
      <w:r>
        <w:rPr>
          <w:rFonts w:eastAsia="仿宋"/>
          <w:color w:val="000000" w:themeColor="text1"/>
          <w:szCs w:val="32"/>
          <w:lang w:val="zh-CN"/>
        </w:rPr>
        <w:t>农村生活污水治理率不低于</w:t>
      </w:r>
      <w:r>
        <w:rPr>
          <w:rFonts w:hint="eastAsia" w:eastAsia="仿宋"/>
          <w:color w:val="000000" w:themeColor="text1"/>
          <w:szCs w:val="32"/>
        </w:rPr>
        <w:t>70</w:t>
      </w:r>
      <w:r>
        <w:rPr>
          <w:rFonts w:eastAsia="仿宋"/>
          <w:color w:val="000000" w:themeColor="text1"/>
          <w:szCs w:val="32"/>
          <w:lang w:val="zh-CN"/>
        </w:rPr>
        <w:t>%。</w:t>
      </w:r>
    </w:p>
    <w:p>
      <w:pPr>
        <w:spacing w:line="590" w:lineRule="exact"/>
        <w:ind w:firstLine="643" w:firstLineChars="200"/>
        <w:rPr>
          <w:rFonts w:eastAsia="仿宋"/>
          <w:color w:val="000000" w:themeColor="text1"/>
          <w:szCs w:val="32"/>
          <w:lang w:val="zh-CN"/>
        </w:rPr>
      </w:pPr>
      <w:r>
        <w:rPr>
          <w:rFonts w:eastAsia="仿宋"/>
          <w:b/>
          <w:bCs/>
          <w:color w:val="000000" w:themeColor="text1"/>
          <w:szCs w:val="32"/>
        </w:rPr>
        <w:t>完善农村生活垃圾处理体系。</w:t>
      </w:r>
      <w:r>
        <w:rPr>
          <w:rFonts w:eastAsia="仿宋"/>
          <w:color w:val="000000" w:themeColor="text1"/>
          <w:szCs w:val="32"/>
        </w:rPr>
        <w:t>加强农村生活</w:t>
      </w:r>
      <w:r>
        <w:rPr>
          <w:rFonts w:eastAsia="仿宋"/>
          <w:color w:val="000000" w:themeColor="text1"/>
          <w:szCs w:val="32"/>
          <w:lang w:val="zh-CN"/>
        </w:rPr>
        <w:t>垃圾收转运设施</w:t>
      </w:r>
      <w:r>
        <w:rPr>
          <w:rFonts w:eastAsia="仿宋"/>
          <w:color w:val="000000" w:themeColor="text1"/>
          <w:szCs w:val="32"/>
        </w:rPr>
        <w:t>及转运站</w:t>
      </w:r>
      <w:r>
        <w:rPr>
          <w:rFonts w:eastAsia="仿宋"/>
          <w:color w:val="000000" w:themeColor="text1"/>
          <w:szCs w:val="32"/>
          <w:lang w:val="zh-CN"/>
        </w:rPr>
        <w:t>运行监管，</w:t>
      </w:r>
      <w:r>
        <w:rPr>
          <w:rFonts w:eastAsia="仿宋"/>
          <w:color w:val="000000" w:themeColor="text1"/>
          <w:szCs w:val="32"/>
        </w:rPr>
        <w:t>实现</w:t>
      </w:r>
      <w:r>
        <w:rPr>
          <w:rFonts w:eastAsia="仿宋"/>
          <w:color w:val="000000" w:themeColor="text1"/>
          <w:szCs w:val="32"/>
          <w:lang w:val="zh-CN"/>
        </w:rPr>
        <w:t>全</w:t>
      </w:r>
      <w:r>
        <w:rPr>
          <w:rFonts w:hint="eastAsia" w:eastAsia="仿宋"/>
          <w:color w:val="000000" w:themeColor="text1"/>
          <w:szCs w:val="32"/>
          <w:lang w:val="zh-CN"/>
        </w:rPr>
        <w:t>区</w:t>
      </w:r>
      <w:r>
        <w:rPr>
          <w:rFonts w:eastAsia="仿宋"/>
          <w:color w:val="000000" w:themeColor="text1"/>
          <w:szCs w:val="32"/>
          <w:lang w:val="zh-CN"/>
        </w:rPr>
        <w:t>行政村生活垃圾收集处置设施覆盖率达到100%。结合美丽庭院“六个一”创建，推动农村生活垃圾源头分类减量，减少垃圾外运处置量，垃圾清洁焚烧处理占比达到90%以上。</w:t>
      </w:r>
    </w:p>
    <w:p>
      <w:pPr>
        <w:spacing w:line="590" w:lineRule="exact"/>
        <w:ind w:firstLine="643" w:firstLineChars="200"/>
        <w:outlineLvl w:val="1"/>
        <w:rPr>
          <w:rFonts w:eastAsia="楷体"/>
          <w:b/>
          <w:bCs/>
          <w:szCs w:val="32"/>
        </w:rPr>
      </w:pPr>
      <w:bookmarkStart w:id="58" w:name="_Toc98755283"/>
      <w:r>
        <w:rPr>
          <w:rFonts w:eastAsia="楷体"/>
          <w:b/>
          <w:bCs/>
          <w:szCs w:val="32"/>
        </w:rPr>
        <w:t>（三）开展农业面源污染防治</w:t>
      </w:r>
      <w:bookmarkEnd w:id="58"/>
    </w:p>
    <w:p>
      <w:pPr>
        <w:spacing w:line="590" w:lineRule="exact"/>
        <w:ind w:firstLine="643" w:firstLineChars="200"/>
        <w:rPr>
          <w:rFonts w:eastAsia="仿宋"/>
          <w:color w:val="000000" w:themeColor="text1"/>
          <w:szCs w:val="32"/>
        </w:rPr>
      </w:pPr>
      <w:r>
        <w:rPr>
          <w:b/>
          <w:bCs/>
          <w:szCs w:val="32"/>
        </w:rPr>
        <w:t>防控种植业污染。</w:t>
      </w:r>
      <w:r>
        <w:rPr>
          <w:color w:val="000000"/>
          <w:kern w:val="0"/>
          <w:szCs w:val="32"/>
          <w:lang w:val="zh-CN"/>
        </w:rPr>
        <w:t>深入推广农业新技术，</w:t>
      </w:r>
      <w:r>
        <w:rPr>
          <w:rFonts w:eastAsia="仿宋"/>
          <w:color w:val="000000" w:themeColor="text1"/>
          <w:szCs w:val="32"/>
          <w:lang w:val="zh-CN"/>
        </w:rPr>
        <w:t>开展测土配方施肥，持续</w:t>
      </w:r>
      <w:r>
        <w:rPr>
          <w:rFonts w:eastAsia="仿宋"/>
          <w:color w:val="000000" w:themeColor="text1"/>
          <w:szCs w:val="32"/>
        </w:rPr>
        <w:t>推进化肥减量增效和农药减量控害；</w:t>
      </w:r>
      <w:r>
        <w:rPr>
          <w:rFonts w:eastAsia="仿宋"/>
          <w:color w:val="000000" w:themeColor="text1"/>
          <w:szCs w:val="32"/>
          <w:lang w:val="zh-CN"/>
        </w:rPr>
        <w:t>加强农膜废弃物资源化利用</w:t>
      </w:r>
      <w:r>
        <w:rPr>
          <w:rFonts w:hint="eastAsia" w:eastAsia="仿宋"/>
          <w:color w:val="000000" w:themeColor="text1"/>
          <w:szCs w:val="32"/>
          <w:lang w:val="zh-CN"/>
        </w:rPr>
        <w:t>，严格执行0.01毫米厚度地膜强制性国家标准，严禁生产、销售、使用不达标地膜，构建体系完备的农膜回收利用网络，积极探索建立废旧农膜等废弃物的回收利用机制，</w:t>
      </w:r>
      <w:r>
        <w:rPr>
          <w:rFonts w:eastAsia="仿宋"/>
          <w:color w:val="000000" w:themeColor="text1"/>
          <w:szCs w:val="32"/>
          <w:lang w:val="zh-CN"/>
        </w:rPr>
        <w:t>继续推进农药包装废弃物回收试点；提倡应用病虫害</w:t>
      </w:r>
      <w:r>
        <w:rPr>
          <w:rFonts w:eastAsia="仿宋"/>
          <w:color w:val="000000" w:themeColor="text1"/>
          <w:szCs w:val="32"/>
        </w:rPr>
        <w:t>绿色</w:t>
      </w:r>
      <w:r>
        <w:rPr>
          <w:rFonts w:eastAsia="仿宋"/>
          <w:color w:val="000000" w:themeColor="text1"/>
          <w:szCs w:val="32"/>
          <w:lang w:val="zh-CN"/>
        </w:rPr>
        <w:t>防控技术</w:t>
      </w:r>
      <w:r>
        <w:rPr>
          <w:rFonts w:eastAsia="仿宋"/>
          <w:color w:val="000000" w:themeColor="text1"/>
          <w:szCs w:val="32"/>
        </w:rPr>
        <w:t>。集成推广化肥机械深施、种肥同播、水肥一体等绿色高效技术，促进耕地保护和地力提升。到2025年，全市主要农作物单位面积化肥、农药施用量保持零增长</w:t>
      </w:r>
      <w:r>
        <w:rPr>
          <w:rFonts w:eastAsia="仿宋"/>
          <w:color w:val="000000" w:themeColor="text1"/>
          <w:szCs w:val="32"/>
          <w:lang w:val="zh-CN"/>
        </w:rPr>
        <w:t>，测土配方施肥技术覆盖率9</w:t>
      </w:r>
      <w:r>
        <w:rPr>
          <w:rFonts w:eastAsia="仿宋"/>
          <w:color w:val="000000" w:themeColor="text1"/>
          <w:szCs w:val="32"/>
        </w:rPr>
        <w:t>6</w:t>
      </w:r>
      <w:r>
        <w:rPr>
          <w:rFonts w:eastAsia="仿宋"/>
          <w:color w:val="000000" w:themeColor="text1"/>
          <w:szCs w:val="32"/>
          <w:lang w:val="zh-CN"/>
        </w:rPr>
        <w:t>%以上，农膜回收率8</w:t>
      </w:r>
      <w:r>
        <w:rPr>
          <w:rFonts w:eastAsia="仿宋"/>
          <w:color w:val="000000" w:themeColor="text1"/>
          <w:szCs w:val="32"/>
        </w:rPr>
        <w:t>1</w:t>
      </w:r>
      <w:r>
        <w:rPr>
          <w:rFonts w:eastAsia="仿宋"/>
          <w:color w:val="000000" w:themeColor="text1"/>
          <w:szCs w:val="32"/>
          <w:lang w:val="zh-CN"/>
        </w:rPr>
        <w:t>%以上。</w:t>
      </w:r>
    </w:p>
    <w:p>
      <w:pPr>
        <w:spacing w:line="590" w:lineRule="exact"/>
        <w:ind w:firstLine="643" w:firstLineChars="200"/>
        <w:rPr>
          <w:rFonts w:eastAsia="仿宋"/>
          <w:color w:val="000000" w:themeColor="text1"/>
          <w:szCs w:val="32"/>
        </w:rPr>
      </w:pPr>
      <w:r>
        <w:rPr>
          <w:rFonts w:eastAsia="仿宋"/>
          <w:b/>
          <w:bCs/>
          <w:color w:val="000000" w:themeColor="text1"/>
          <w:szCs w:val="32"/>
        </w:rPr>
        <w:t>推进养殖综合治理。</w:t>
      </w:r>
      <w:r>
        <w:rPr>
          <w:rFonts w:hint="eastAsia" w:eastAsia="仿宋"/>
          <w:color w:val="000000" w:themeColor="text1"/>
          <w:szCs w:val="32"/>
        </w:rPr>
        <w:t>对禁养区内畜禽养殖场“回头看”，应拆未拆或拆后反弹的全部关闭到位。加强技术指导，支持在田间地头配套建设管网和储粪（液）池等基础设施，解决粪肥还田“最后一公里”问题。推进畜禽粪污资源化利用工作，以肥料化和能源化为主要利用方向，畜禽粪污全部按</w:t>
      </w:r>
      <w:r>
        <w:rPr>
          <w:rFonts w:hint="eastAsia" w:eastAsia="仿宋"/>
          <w:color w:val="000000" w:themeColor="text1"/>
          <w:szCs w:val="32"/>
          <w:lang w:val="en-US" w:eastAsia="zh-CN"/>
        </w:rPr>
        <w:t>农业农村</w:t>
      </w:r>
      <w:bookmarkStart w:id="89" w:name="_GoBack"/>
      <w:bookmarkEnd w:id="89"/>
      <w:r>
        <w:rPr>
          <w:rFonts w:hint="eastAsia" w:eastAsia="仿宋"/>
          <w:color w:val="000000" w:themeColor="text1"/>
          <w:szCs w:val="32"/>
        </w:rPr>
        <w:t>部规范还田综合利用，2025年，小型规模以上畜禽养殖场（户）全部治理到位，规模以上养殖场粪污处理设施装备配套率达到 100%，规模以上畜禽粪污综合利用率达到 100%以上。</w:t>
      </w:r>
    </w:p>
    <w:p>
      <w:pPr>
        <w:spacing w:line="590" w:lineRule="exact"/>
        <w:ind w:firstLine="640" w:firstLineChars="200"/>
        <w:rPr>
          <w:rFonts w:eastAsia="仿宋"/>
          <w:color w:val="000000" w:themeColor="text1"/>
          <w:szCs w:val="32"/>
        </w:rPr>
      </w:pPr>
      <w:r>
        <w:rPr>
          <w:rFonts w:eastAsia="仿宋"/>
          <w:color w:val="000000" w:themeColor="text1"/>
          <w:szCs w:val="32"/>
        </w:rPr>
        <w:t>稻虾养殖集中区推广育养分离养殖模式，控制小龙虾放养密度，严格控制饲料、肥料等投入品数量，严禁使用未经发酵的有机肥和化肥。规范稻虾种养行为，稻虾集中连片养殖区建立生态沟渠或生物净化池等尾水治理设施，确保养殖尾水达标排放。</w:t>
      </w:r>
    </w:p>
    <w:p>
      <w:pPr>
        <w:spacing w:line="590" w:lineRule="exact"/>
        <w:ind w:firstLine="643" w:firstLineChars="200"/>
        <w:rPr>
          <w:rFonts w:eastAsia="仿宋"/>
          <w:color w:val="000000" w:themeColor="text1"/>
          <w:szCs w:val="32"/>
        </w:rPr>
      </w:pPr>
      <w:r>
        <w:rPr>
          <w:rFonts w:eastAsia="仿宋"/>
          <w:b/>
          <w:bCs/>
          <w:color w:val="000000" w:themeColor="text1"/>
          <w:szCs w:val="32"/>
        </w:rPr>
        <w:t>加强秸秆“五化”综合利用。</w:t>
      </w:r>
      <w:r>
        <w:rPr>
          <w:rFonts w:eastAsia="仿宋"/>
          <w:color w:val="000000" w:themeColor="text1"/>
          <w:szCs w:val="32"/>
        </w:rPr>
        <w:t>推广秸秆肥料化利用。重点推广秸秆粉碎还田技术，以及腐熟还田、免耕还田、翻耕还田、粉碎还田、异地还田技术，制成有机肥，还田利用，减少化肥用量。推广秸秆能源化利用。大力发展秸秆固化成型加工，引导企业使用秸秆固化成型燃料，鼓励燃烧锅炉实施节煤替代扩大秸秆燃料市场需求。推广秸秆饲料化利用。鼓励养殖户利用农作物秸秆发展牛羊等草食畜牧业生产按照市场需求，推广秸秆“三贮一化”技术。推广秸秆基料化利用。充分利用稻草、棉籽壳棉秆、玉米芯等资源，发展食用菌生产，引导、扶持食用菌生产经营主体，建设规模化标准化食用菌生产示范基地。推广秸秆原料化利用。引进专业化企业生产秸秆板材和墙体材料，购置秸秆收集、打包和板材生产等设施设备。通过政策鼓励扶持，建立和完善“以奖代补”机制，引导农民自主自觉开展秸秆综合利用，实行源头防控、以用促禁，保障秸秆禁烧工作可持续发展</w:t>
      </w:r>
      <w:r>
        <w:rPr>
          <w:rFonts w:hint="eastAsia" w:eastAsia="仿宋"/>
          <w:color w:val="000000" w:themeColor="text1"/>
          <w:szCs w:val="32"/>
        </w:rPr>
        <w:t>，同时完成省市规划目标指标</w:t>
      </w:r>
      <w:r>
        <w:rPr>
          <w:rFonts w:eastAsia="仿宋"/>
          <w:color w:val="000000" w:themeColor="text1"/>
          <w:szCs w:val="32"/>
        </w:rPr>
        <w:t>。</w:t>
      </w:r>
    </w:p>
    <w:p>
      <w:pPr>
        <w:spacing w:line="590" w:lineRule="exact"/>
        <w:ind w:firstLine="643" w:firstLineChars="200"/>
        <w:outlineLvl w:val="1"/>
        <w:rPr>
          <w:rFonts w:eastAsia="楷体"/>
          <w:b/>
          <w:bCs/>
          <w:szCs w:val="32"/>
        </w:rPr>
      </w:pPr>
      <w:bookmarkStart w:id="59" w:name="_Toc98755284"/>
      <w:r>
        <w:rPr>
          <w:rFonts w:eastAsia="楷体"/>
          <w:b/>
          <w:bCs/>
          <w:szCs w:val="32"/>
        </w:rPr>
        <w:t>（四）推进农村黑臭水体治理</w:t>
      </w:r>
      <w:bookmarkEnd w:id="59"/>
    </w:p>
    <w:p>
      <w:pPr>
        <w:spacing w:line="590" w:lineRule="exact"/>
        <w:ind w:firstLine="640" w:firstLineChars="200"/>
        <w:rPr>
          <w:rFonts w:eastAsia="仿宋"/>
          <w:color w:val="000000" w:themeColor="text1"/>
          <w:szCs w:val="32"/>
          <w:lang w:val="zh-CN"/>
        </w:rPr>
      </w:pPr>
      <w:r>
        <w:rPr>
          <w:rFonts w:eastAsia="仿宋"/>
          <w:color w:val="000000" w:themeColor="text1"/>
          <w:szCs w:val="32"/>
        </w:rPr>
        <w:t>按照“分级管理、分类治理、分期推进”总体思路，深入实施农村黑臭水体治理。建立农村黑臭水体治理台账，制定整治方案，细化阶段目标和任务安排。通过源头控源截污、河岸垃圾清理、河道清淤疏浚、生态系统修复等措施，以降低黑臭水体氮磷负荷为重点，持续整治黑臭水体，并探索建立</w:t>
      </w:r>
      <w:r>
        <w:rPr>
          <w:color w:val="000000"/>
          <w:kern w:val="0"/>
          <w:szCs w:val="32"/>
          <w:lang w:val="zh-CN"/>
        </w:rPr>
        <w:t>治理长效机制</w:t>
      </w:r>
      <w:r>
        <w:rPr>
          <w:rFonts w:eastAsia="仿宋"/>
          <w:color w:val="000000" w:themeColor="text1"/>
          <w:szCs w:val="32"/>
        </w:rPr>
        <w:t>。</w:t>
      </w:r>
    </w:p>
    <w:p>
      <w:pPr>
        <w:pStyle w:val="27"/>
        <w:rPr>
          <w:rFonts w:ascii="Times New Roman" w:hAnsi="Times New Roman"/>
        </w:rPr>
      </w:pP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rPr>
      </w:pPr>
      <w:bookmarkStart w:id="60" w:name="_Toc98755285"/>
      <w:r>
        <w:rPr>
          <w:rFonts w:ascii="Times New Roman" w:hAnsi="Times New Roman" w:eastAsia="黑体" w:cs="Times New Roman"/>
          <w:b w:val="0"/>
          <w:bCs w:val="0"/>
        </w:rPr>
        <w:t>九、加强生态监管，保障生态安全</w:t>
      </w:r>
      <w:bookmarkEnd w:id="60"/>
      <w:bookmarkStart w:id="61" w:name="_Toc39755879"/>
    </w:p>
    <w:bookmarkEnd w:id="61"/>
    <w:p>
      <w:pPr>
        <w:spacing w:line="590" w:lineRule="exact"/>
        <w:ind w:firstLine="643" w:firstLineChars="200"/>
        <w:outlineLvl w:val="1"/>
        <w:rPr>
          <w:rFonts w:eastAsia="楷体"/>
          <w:b/>
          <w:bCs/>
          <w:szCs w:val="32"/>
        </w:rPr>
      </w:pPr>
      <w:bookmarkStart w:id="62" w:name="_Toc98755286"/>
      <w:r>
        <w:rPr>
          <w:rFonts w:eastAsia="楷体"/>
          <w:b/>
          <w:bCs/>
          <w:szCs w:val="32"/>
        </w:rPr>
        <w:t>（一）构筑生态安全格局</w:t>
      </w:r>
      <w:bookmarkEnd w:id="62"/>
    </w:p>
    <w:p>
      <w:pPr>
        <w:spacing w:line="590" w:lineRule="exact"/>
        <w:ind w:firstLine="643" w:firstLineChars="200"/>
        <w:rPr>
          <w:rFonts w:eastAsia="仿宋"/>
          <w:color w:val="000000" w:themeColor="text1"/>
          <w:szCs w:val="32"/>
        </w:rPr>
      </w:pPr>
      <w:r>
        <w:rPr>
          <w:rFonts w:eastAsia="仿宋"/>
          <w:b/>
          <w:bCs/>
          <w:szCs w:val="32"/>
        </w:rPr>
        <w:t>加强生态空间界限管制。</w:t>
      </w:r>
      <w:r>
        <w:rPr>
          <w:rFonts w:eastAsia="仿宋"/>
          <w:szCs w:val="32"/>
        </w:rPr>
        <w:t>加强</w:t>
      </w:r>
      <w:r>
        <w:rPr>
          <w:rFonts w:eastAsia="仿宋"/>
          <w:color w:val="000000" w:themeColor="text1"/>
          <w:szCs w:val="32"/>
          <w:lang w:val="zh-CN"/>
        </w:rPr>
        <w:t>“三线</w:t>
      </w:r>
      <w:r>
        <w:rPr>
          <w:rFonts w:eastAsia="仿宋"/>
          <w:color w:val="000000" w:themeColor="text1"/>
          <w:szCs w:val="32"/>
        </w:rPr>
        <w:t>一单”与国土空间规划体系的衔接，加强生态空间规划界限管制。严控国土开发，严禁与主体功能区定位相悖的开发活动，固守生态环境敏感区、脆弱区等区域的生态红线，推动重点功能区生态功能稳定增强，提高生态资源管理效益。</w:t>
      </w:r>
    </w:p>
    <w:p>
      <w:pPr>
        <w:spacing w:line="590" w:lineRule="exact"/>
        <w:ind w:firstLine="643" w:firstLineChars="200"/>
        <w:rPr>
          <w:rFonts w:eastAsia="仿宋"/>
          <w:color w:val="000000" w:themeColor="text1"/>
          <w:szCs w:val="32"/>
        </w:rPr>
      </w:pPr>
      <w:r>
        <w:rPr>
          <w:rFonts w:eastAsia="仿宋"/>
          <w:b/>
          <w:bCs/>
          <w:color w:val="000000" w:themeColor="text1"/>
          <w:szCs w:val="32"/>
        </w:rPr>
        <w:t>筑牢绿色生态屏障。</w:t>
      </w:r>
      <w:r>
        <w:rPr>
          <w:rFonts w:eastAsia="仿宋"/>
          <w:color w:val="000000" w:themeColor="text1"/>
          <w:szCs w:val="32"/>
        </w:rPr>
        <w:t>加强对区域内山体、森林、河流、湖泊等生态资源的保护，优化拦河水利工程管控和整治，巩固拓展流域退耕还林还湿成果，改善河湖连通性，防治水土流失，严格保护耕地，健全生态系统自然休养生息制度。对城镇园林绿化带、河湖湿地及防护林带、道路绿廊等生态廊道进行系统性建设，加强同周边区域的自然保护区、森林公园、山体水源涵养林等生态系统的保护及修复相衔接，构筑生态安全屏障系统。</w:t>
      </w:r>
    </w:p>
    <w:p>
      <w:pPr>
        <w:spacing w:line="590" w:lineRule="exact"/>
        <w:ind w:firstLine="643" w:firstLineChars="200"/>
        <w:outlineLvl w:val="1"/>
        <w:rPr>
          <w:rFonts w:eastAsia="楷体"/>
          <w:b/>
          <w:bCs/>
          <w:szCs w:val="32"/>
        </w:rPr>
      </w:pPr>
      <w:bookmarkStart w:id="63" w:name="_Toc98755287"/>
      <w:r>
        <w:rPr>
          <w:rFonts w:eastAsia="楷体"/>
          <w:b/>
          <w:bCs/>
          <w:szCs w:val="32"/>
        </w:rPr>
        <w:t>（二）加强重要生态系统保护与修复</w:t>
      </w:r>
      <w:bookmarkEnd w:id="63"/>
    </w:p>
    <w:p>
      <w:pPr>
        <w:spacing w:line="590" w:lineRule="exact"/>
        <w:ind w:firstLine="643" w:firstLineChars="200"/>
        <w:rPr>
          <w:rFonts w:eastAsia="仿宋"/>
          <w:color w:val="000000" w:themeColor="text1"/>
          <w:szCs w:val="32"/>
        </w:rPr>
      </w:pPr>
      <w:r>
        <w:rPr>
          <w:rFonts w:eastAsia="仿宋"/>
          <w:b/>
          <w:bCs/>
          <w:color w:val="000000" w:themeColor="text1"/>
          <w:szCs w:val="32"/>
        </w:rPr>
        <w:t>保护和培育森林生态系统。</w:t>
      </w:r>
      <w:r>
        <w:rPr>
          <w:rFonts w:eastAsia="仿宋"/>
          <w:color w:val="000000" w:themeColor="text1"/>
          <w:szCs w:val="32"/>
        </w:rPr>
        <w:t>继续实施封山育林、森林抚育工作，恢复和提升森林资源和森林质量。推动绿色及特色经济林建设，加快杉木大径材、毛竹丰产林、油茶高产林、高标准农田林网等示范基地的培育，提高森林经营质量和水平。</w:t>
      </w:r>
    </w:p>
    <w:p>
      <w:pPr>
        <w:spacing w:line="590" w:lineRule="exact"/>
        <w:ind w:firstLine="643" w:firstLineChars="200"/>
        <w:rPr>
          <w:rFonts w:eastAsia="仿宋"/>
          <w:color w:val="000000" w:themeColor="text1"/>
          <w:szCs w:val="32"/>
        </w:rPr>
      </w:pPr>
      <w:r>
        <w:rPr>
          <w:rFonts w:eastAsia="仿宋"/>
          <w:b/>
          <w:bCs/>
          <w:color w:val="000000" w:themeColor="text1"/>
          <w:szCs w:val="32"/>
        </w:rPr>
        <w:t>加强湿地生态系统修复。</w:t>
      </w:r>
      <w:r>
        <w:rPr>
          <w:rFonts w:eastAsia="仿宋"/>
          <w:color w:val="000000" w:themeColor="text1"/>
          <w:szCs w:val="32"/>
        </w:rPr>
        <w:t>加大“一江一湖”湿地保护，实施黄家湖湿地保护与修复工程，努力扩大湿地面积，发挥重要河流“生态廊道”功能，并探索建立湿地生态效益补偿机制。</w:t>
      </w:r>
      <w:r>
        <w:rPr>
          <w:rFonts w:hint="eastAsia" w:eastAsia="仿宋"/>
          <w:color w:val="000000" w:themeColor="text1"/>
          <w:szCs w:val="32"/>
        </w:rPr>
        <w:t xml:space="preserve">  </w:t>
      </w:r>
      <w:r>
        <w:rPr>
          <w:rFonts w:eastAsia="仿宋"/>
          <w:b/>
          <w:bCs/>
          <w:color w:val="000000" w:themeColor="text1"/>
          <w:szCs w:val="32"/>
        </w:rPr>
        <w:t>加强废弃矿山生态修复。</w:t>
      </w:r>
      <w:r>
        <w:rPr>
          <w:rFonts w:eastAsia="仿宋"/>
          <w:color w:val="000000" w:themeColor="text1"/>
          <w:szCs w:val="32"/>
        </w:rPr>
        <w:t>全面整治资阳区的历史遗留矿山，加强对无责任主体的废矿坑洞涌水、采矿地下水及其污染源的监测、风险管控和治理修复。按照“谁修复、谁受益”原则，广泛吸引社会资本参与，构建“政府主导、政策扶持、社会参与、开发式治理、市场化运作”的矿山生态修复新模式。加强石煤矿山后续监管，建立长效机制，防止污染反弹。</w:t>
      </w:r>
    </w:p>
    <w:p>
      <w:pPr>
        <w:spacing w:line="590" w:lineRule="exact"/>
        <w:ind w:firstLine="643" w:firstLineChars="200"/>
        <w:rPr>
          <w:rFonts w:eastAsia="仿宋"/>
          <w:color w:val="000000" w:themeColor="text1"/>
          <w:szCs w:val="32"/>
        </w:rPr>
      </w:pPr>
      <w:r>
        <w:rPr>
          <w:rFonts w:eastAsia="仿宋"/>
          <w:b/>
          <w:bCs/>
          <w:color w:val="000000" w:themeColor="text1"/>
          <w:szCs w:val="32"/>
        </w:rPr>
        <w:t>建设和改善城镇生态系统。</w:t>
      </w:r>
      <w:r>
        <w:rPr>
          <w:rFonts w:eastAsia="仿宋"/>
          <w:color w:val="000000" w:themeColor="text1"/>
          <w:szCs w:val="32"/>
        </w:rPr>
        <w:t>建设园林城市和森林城市，推进城市绿道、湿地公园、山体公园等绿地系统建设，强化绿线管制，划定城市发展生态边界。实施城市生态修复工程，积极保护和治理城市山水资源，加强水体沿岸绿化美化，恢复水陆交界处软质景观，保护生物多样性。</w:t>
      </w:r>
    </w:p>
    <w:p>
      <w:pPr>
        <w:spacing w:line="590" w:lineRule="exact"/>
        <w:ind w:firstLine="643" w:firstLineChars="200"/>
        <w:outlineLvl w:val="1"/>
        <w:rPr>
          <w:rFonts w:eastAsia="楷体"/>
          <w:b/>
          <w:bCs/>
          <w:szCs w:val="32"/>
        </w:rPr>
      </w:pPr>
      <w:bookmarkStart w:id="64" w:name="_Toc98755288"/>
      <w:r>
        <w:rPr>
          <w:rFonts w:eastAsia="楷体"/>
          <w:b/>
          <w:bCs/>
          <w:szCs w:val="32"/>
        </w:rPr>
        <w:t>（三）加大生物多样性保护力度</w:t>
      </w:r>
      <w:bookmarkEnd w:id="64"/>
    </w:p>
    <w:p>
      <w:pPr>
        <w:spacing w:line="590" w:lineRule="exact"/>
        <w:ind w:firstLine="640" w:firstLineChars="200"/>
      </w:pPr>
      <w:r>
        <w:rPr>
          <w:rFonts w:eastAsia="仿宋"/>
          <w:color w:val="000000" w:themeColor="text1"/>
          <w:szCs w:val="32"/>
        </w:rPr>
        <w:t>完善生物多样性保护网络，加强特有珍稀濒危野生动物及其栖息地保护，扩大野生动植物生存空间，建立健全野生动物疫源疫病监测防控体系。加强珍稀濒危物种的调查监测与评估，研究制定生境、栖息地、种群恢复的措施。编制珍稀物种保护行动计划，针对物种致危原因，采取针对性的措施，加强对生境和栖息地保护及修复。针对益阳</w:t>
      </w:r>
      <w:r>
        <w:rPr>
          <w:rFonts w:hint="eastAsia" w:eastAsia="仿宋"/>
          <w:color w:val="000000" w:themeColor="text1"/>
          <w:szCs w:val="32"/>
        </w:rPr>
        <w:t>资阳区</w:t>
      </w:r>
      <w:r>
        <w:rPr>
          <w:rFonts w:eastAsia="仿宋"/>
          <w:color w:val="000000" w:themeColor="text1"/>
          <w:szCs w:val="32"/>
        </w:rPr>
        <w:t>境内国家级水产种质资源保护区重点保护对象黄颡鱼的繁殖需求，提出洄游通道保护、天然生境恢复、生境替代保护与修复以及增殖放流等任务要求，因地制宜开展生态调度任务。加强外来物种防控和拦截，通过生物防治、物理及化学防治、生态替代等技术措施开展外来物种（如水葫芦、福寿螺）入侵生态防控工程。</w:t>
      </w:r>
    </w:p>
    <w:p>
      <w:pPr>
        <w:spacing w:line="590" w:lineRule="exact"/>
        <w:ind w:firstLine="643" w:firstLineChars="200"/>
        <w:outlineLvl w:val="1"/>
        <w:rPr>
          <w:rFonts w:eastAsia="楷体"/>
          <w:b/>
          <w:bCs/>
          <w:szCs w:val="32"/>
        </w:rPr>
      </w:pPr>
      <w:bookmarkStart w:id="65" w:name="_Toc98755289"/>
      <w:r>
        <w:rPr>
          <w:rFonts w:eastAsia="楷体"/>
          <w:b/>
          <w:bCs/>
          <w:szCs w:val="32"/>
        </w:rPr>
        <w:t>（四）强化生态保护监督管理</w:t>
      </w:r>
      <w:bookmarkEnd w:id="65"/>
    </w:p>
    <w:p>
      <w:pPr>
        <w:spacing w:line="590" w:lineRule="exact"/>
        <w:ind w:firstLine="640" w:firstLineChars="200"/>
      </w:pPr>
      <w:r>
        <w:rPr>
          <w:rFonts w:eastAsia="仿宋"/>
          <w:color w:val="000000" w:themeColor="text1"/>
          <w:szCs w:val="32"/>
        </w:rPr>
        <w:t>加强生态保护红线与自然保护地监督。完善自然保护区管理评估制度，逐步开展自然保护区的管理评估。继续落实《益阳市绿盾自然保护地强化监督工作实施方案》，扎实推进自然保护区突出环境问题整治工作，对自然保护区典型违法违规问题进行通报或挂牌督办。依法严厉打击野生动植物偷猎捕猎、滥垦滥采、违规贩卖、加工利用及破坏水生生物资源及其生境等违法行为，强化野生动物保护和疫源疫病防控。落实生态保护红线监管责任，探索生态保护红线生态破坏问题监管试点。通过非现场监管、无人机监管、卫星遥感等应用技术，强化对破坏湿地、林地、草地、自然岸线等行为和湿地生态环境保护、荒漠化防治、岸线保护修复的监督。</w:t>
      </w: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66" w:name="_Toc98755290"/>
      <w:r>
        <w:rPr>
          <w:rFonts w:ascii="Times New Roman" w:hAnsi="Times New Roman" w:eastAsia="黑体" w:cs="Times New Roman"/>
          <w:b w:val="0"/>
          <w:bCs w:val="0"/>
          <w:color w:val="000000" w:themeColor="text1"/>
        </w:rPr>
        <w:t>十、加强风险防范，筑牢</w:t>
      </w:r>
      <w:r>
        <w:rPr>
          <w:rFonts w:hint="eastAsia" w:ascii="Times New Roman" w:hAnsi="Times New Roman" w:eastAsia="黑体" w:cs="Times New Roman"/>
          <w:b w:val="0"/>
          <w:bCs w:val="0"/>
          <w:color w:val="000000" w:themeColor="text1"/>
        </w:rPr>
        <w:t>环境</w:t>
      </w:r>
      <w:r>
        <w:rPr>
          <w:rFonts w:ascii="Times New Roman" w:hAnsi="Times New Roman" w:eastAsia="黑体" w:cs="Times New Roman"/>
          <w:b w:val="0"/>
          <w:bCs w:val="0"/>
          <w:color w:val="000000" w:themeColor="text1"/>
        </w:rPr>
        <w:t>安全底线</w:t>
      </w:r>
      <w:bookmarkEnd w:id="66"/>
    </w:p>
    <w:p>
      <w:pPr>
        <w:spacing w:line="590" w:lineRule="exact"/>
        <w:ind w:firstLine="643" w:firstLineChars="200"/>
        <w:outlineLvl w:val="1"/>
        <w:rPr>
          <w:rFonts w:eastAsia="楷体"/>
          <w:b/>
          <w:bCs/>
          <w:szCs w:val="32"/>
        </w:rPr>
      </w:pPr>
      <w:bookmarkStart w:id="67" w:name="_Toc98755291"/>
      <w:r>
        <w:rPr>
          <w:rFonts w:eastAsia="楷体"/>
          <w:b/>
          <w:bCs/>
          <w:szCs w:val="32"/>
        </w:rPr>
        <w:t>（一）强化环境风险源头防控</w:t>
      </w:r>
      <w:bookmarkEnd w:id="67"/>
    </w:p>
    <w:p>
      <w:pPr>
        <w:spacing w:line="590" w:lineRule="exact"/>
        <w:ind w:firstLine="640" w:firstLineChars="200"/>
        <w:rPr>
          <w:rFonts w:eastAsia="仿宋"/>
          <w:szCs w:val="32"/>
        </w:rPr>
      </w:pPr>
      <w:r>
        <w:rPr>
          <w:rFonts w:eastAsia="仿宋"/>
          <w:color w:val="000000" w:themeColor="text1"/>
          <w:szCs w:val="32"/>
        </w:rPr>
        <w:t>加大</w:t>
      </w:r>
      <w:r>
        <w:rPr>
          <w:rFonts w:eastAsia="仿宋"/>
          <w:szCs w:val="32"/>
        </w:rPr>
        <w:t>环境安全隐患</w:t>
      </w:r>
      <w:r>
        <w:rPr>
          <w:rFonts w:eastAsia="仿宋"/>
          <w:color w:val="000000" w:themeColor="text1"/>
          <w:szCs w:val="32"/>
        </w:rPr>
        <w:t>排查，推进危险废物分类分级管理，实施全</w:t>
      </w:r>
      <w:r>
        <w:rPr>
          <w:rFonts w:hint="eastAsia" w:eastAsia="仿宋"/>
          <w:color w:val="000000" w:themeColor="text1"/>
          <w:szCs w:val="32"/>
        </w:rPr>
        <w:t>区</w:t>
      </w:r>
      <w:r>
        <w:rPr>
          <w:rFonts w:eastAsia="仿宋"/>
          <w:color w:val="000000" w:themeColor="text1"/>
          <w:szCs w:val="32"/>
        </w:rPr>
        <w:t>风险源企业及周边环境敏感目标的调查、测绘，实现“一源一案”的风险源管理。</w:t>
      </w:r>
      <w:r>
        <w:rPr>
          <w:rFonts w:eastAsia="仿宋"/>
          <w:szCs w:val="32"/>
        </w:rPr>
        <w:t>强化区域开发和项目建设的环境风险评价，对涉及有毒有害化学品、重金属和新型污染物的项目，实行严格的环境准入把关。</w:t>
      </w:r>
      <w:r>
        <w:rPr>
          <w:rFonts w:hint="eastAsia" w:eastAsia="仿宋"/>
          <w:szCs w:val="32"/>
        </w:rPr>
        <w:t>落实企业突发环境事件风险评估制度，推进突发环境事件风险分类分级管理，严格监管重大突发环境事件风险企业。加强环境风险隐患排查整治，定期对涉危险化学品企业、涉危险废物企业等开展环境安全排查整治专项行动。</w:t>
      </w:r>
      <w:r>
        <w:rPr>
          <w:rFonts w:eastAsia="仿宋"/>
          <w:color w:val="000000" w:themeColor="text1"/>
          <w:szCs w:val="32"/>
        </w:rPr>
        <w:t>以化工、医药、石化、危化品和石油仓储等行业为重点，定期调查评估沿江河湖库工业企业、工业聚集区的生态环境与健康风险，严格落实环境风险防控措施。</w:t>
      </w:r>
    </w:p>
    <w:p>
      <w:pPr>
        <w:spacing w:line="590" w:lineRule="exact"/>
        <w:ind w:firstLine="643" w:firstLineChars="200"/>
        <w:outlineLvl w:val="1"/>
        <w:rPr>
          <w:rFonts w:eastAsia="楷体"/>
          <w:b/>
          <w:bCs/>
          <w:szCs w:val="32"/>
        </w:rPr>
      </w:pPr>
      <w:bookmarkStart w:id="68" w:name="_Toc98755292"/>
      <w:r>
        <w:rPr>
          <w:rFonts w:eastAsia="楷体"/>
          <w:b/>
          <w:bCs/>
          <w:szCs w:val="32"/>
        </w:rPr>
        <w:t>（二）严控重点领域环境风险</w:t>
      </w:r>
      <w:bookmarkEnd w:id="68"/>
    </w:p>
    <w:p>
      <w:pPr>
        <w:pStyle w:val="27"/>
        <w:spacing w:line="590" w:lineRule="exact"/>
        <w:ind w:firstLine="643" w:firstLineChars="200"/>
        <w:rPr>
          <w:rFonts w:ascii="Times New Roman" w:hAnsi="Times New Roman" w:eastAsia="仿宋"/>
          <w:color w:val="000000" w:themeColor="text1"/>
          <w:sz w:val="32"/>
          <w:szCs w:val="32"/>
          <w:highlight w:val="green"/>
        </w:rPr>
      </w:pPr>
      <w:r>
        <w:rPr>
          <w:rFonts w:ascii="Times New Roman" w:hAnsi="Times New Roman" w:eastAsia="仿宋"/>
          <w:b/>
          <w:bCs/>
          <w:color w:val="000000" w:themeColor="text1"/>
          <w:sz w:val="32"/>
          <w:szCs w:val="32"/>
        </w:rPr>
        <w:t>加强危险废物管控。</w:t>
      </w:r>
      <w:r>
        <w:rPr>
          <w:rFonts w:hint="eastAsia" w:ascii="Times New Roman" w:hAnsi="Times New Roman" w:eastAsia="仿宋"/>
          <w:color w:val="000000" w:themeColor="text1"/>
          <w:sz w:val="32"/>
          <w:szCs w:val="32"/>
        </w:rPr>
        <w:t>加强危险废物分类收集和规范贮存，提升小微企业危险废物收集转运能力，建立小微企业危险废物收集“绿岛”。加强医疗废物分类管理、规范处置，完善医疗废物收集转运处置体系，加快农村地区覆盖普及。建立医疗废物协同应急处置设施清单，完善处置物资储备体系，保障重大疫情医疗废物应急处置能力</w:t>
      </w:r>
      <w:r>
        <w:rPr>
          <w:rFonts w:ascii="Times New Roman" w:hAnsi="Times New Roman" w:eastAsia="仿宋"/>
          <w:color w:val="000000" w:themeColor="text1"/>
          <w:sz w:val="32"/>
          <w:szCs w:val="32"/>
        </w:rPr>
        <w:t>。</w:t>
      </w:r>
      <w:r>
        <w:rPr>
          <w:rFonts w:hint="eastAsia" w:ascii="Times New Roman" w:hAnsi="Times New Roman" w:eastAsia="仿宋"/>
          <w:color w:val="000000" w:themeColor="text1"/>
          <w:sz w:val="32"/>
          <w:szCs w:val="32"/>
        </w:rPr>
        <w:t>全面开展危险废物排查，督促产废单位对属性不明的固体废物进行鉴别鉴定，重点整治危险化学品单位等可能存在的违规堆存、随意倾倒、私自填埋危险废物等问题，确保危险废物贮存、运输、处置安全。严格执行国家危险废物贮存有关安全技术标准，建立完善危险废物由产生到处置各环节联单制度。依法对危险废物的收集、贮存、处置等进行监督管理，加大打击故意隐瞒、偷放偷排或违法违规处置危险废物违法犯罪行为力度。</w:t>
      </w:r>
      <w:r>
        <w:rPr>
          <w:rFonts w:ascii="Times New Roman" w:hAnsi="Times New Roman" w:eastAsia="仿宋"/>
          <w:color w:val="000000" w:themeColor="text1"/>
          <w:sz w:val="32"/>
          <w:szCs w:val="32"/>
        </w:rPr>
        <w:t>健全危险废物收运转移体系，严格执行危险废物转移联单管理制度，加大非法收集和处置危险废物违法犯罪行为打击和宣传力度，确保危险废物安全转移。</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rPr>
        <w:t>推进重金属污染防控。</w:t>
      </w:r>
      <w:r>
        <w:rPr>
          <w:rFonts w:ascii="Times New Roman" w:hAnsi="Times New Roman" w:eastAsia="仿宋"/>
          <w:color w:val="000000" w:themeColor="text1"/>
          <w:sz w:val="32"/>
          <w:szCs w:val="32"/>
        </w:rPr>
        <w:t>推进重金属全生命周期环境管理、推动重点污染物和特征污染物特别排放限值达标改造。</w:t>
      </w:r>
      <w:r>
        <w:rPr>
          <w:rFonts w:hint="eastAsia" w:ascii="Times New Roman" w:hAnsi="Times New Roman" w:eastAsia="仿宋"/>
          <w:color w:val="000000" w:themeColor="text1"/>
          <w:sz w:val="32"/>
          <w:szCs w:val="32"/>
        </w:rPr>
        <w:t>从严把控涉重金属项目准入，对报审的重点行业涉重金属污染排放的新改扩建项目，严格执行重金属排放“等量替换”或“减量替换”制度。将涉重金属企业纳入强制清洁生产审核，支持企业开展技术升级改造，鼓励企业在不增产不增污的情况下对中高浓度含重金属废液进行在线回收。建成包含企业基本情况、环境管理、污染防治、风险防范等在内的全区重点行业涉重企业数据库，实现“一企一档”、“一图一表”，并对数据库实施动态维护与更新。</w:t>
      </w:r>
    </w:p>
    <w:p>
      <w:pPr>
        <w:spacing w:line="590" w:lineRule="exact"/>
        <w:ind w:firstLine="643" w:firstLineChars="200"/>
        <w:rPr>
          <w:rFonts w:eastAsia="仿宋"/>
          <w:color w:val="000000" w:themeColor="text1"/>
          <w:szCs w:val="32"/>
        </w:rPr>
      </w:pPr>
      <w:r>
        <w:rPr>
          <w:rFonts w:eastAsia="仿宋"/>
          <w:b/>
          <w:bCs/>
          <w:color w:val="000000" w:themeColor="text1"/>
          <w:szCs w:val="32"/>
        </w:rPr>
        <w:t>做好化学品环境管理。</w:t>
      </w:r>
      <w:r>
        <w:rPr>
          <w:rFonts w:eastAsia="仿宋"/>
          <w:color w:val="000000" w:themeColor="text1"/>
          <w:szCs w:val="32"/>
        </w:rPr>
        <w:t>对现有涉危险化学品生产的企业进行强制清洁生产审核，严格控制涉及高污染、高风险化学品企业的生产规模。加快建设有毒有害化学物质环境风险管理体系，加强新化学物质环境风险管理，持续开展化学物质环境风险筛查和评估，推动化学物质风险管控。重点防范持久性有机物、汞等化学物质环境风险，推动企业做好履约相关工作。</w:t>
      </w:r>
    </w:p>
    <w:p>
      <w:pPr>
        <w:spacing w:line="590" w:lineRule="exact"/>
        <w:ind w:firstLine="643" w:firstLineChars="200"/>
        <w:outlineLvl w:val="1"/>
        <w:rPr>
          <w:rFonts w:eastAsia="楷体"/>
          <w:b/>
          <w:bCs/>
          <w:szCs w:val="32"/>
        </w:rPr>
      </w:pPr>
      <w:bookmarkStart w:id="69" w:name="_Toc98755293"/>
      <w:r>
        <w:rPr>
          <w:rFonts w:eastAsia="楷体"/>
          <w:b/>
          <w:bCs/>
          <w:szCs w:val="32"/>
        </w:rPr>
        <w:t>（三）持续推进“无废城市”建设</w:t>
      </w:r>
      <w:bookmarkEnd w:id="69"/>
    </w:p>
    <w:p>
      <w:pPr>
        <w:widowControl/>
        <w:spacing w:line="590" w:lineRule="exact"/>
        <w:ind w:firstLine="643" w:firstLineChars="200"/>
        <w:jc w:val="left"/>
        <w:rPr>
          <w:rFonts w:eastAsia="仿宋"/>
          <w:color w:val="000000" w:themeColor="text1"/>
          <w:szCs w:val="32"/>
        </w:rPr>
      </w:pPr>
      <w:r>
        <w:rPr>
          <w:rFonts w:eastAsia="仿宋"/>
          <w:b/>
          <w:bCs/>
          <w:color w:val="000000" w:themeColor="text1"/>
          <w:szCs w:val="32"/>
        </w:rPr>
        <w:t>加大固体废物综合利用。</w:t>
      </w:r>
      <w:r>
        <w:rPr>
          <w:rFonts w:eastAsia="仿宋"/>
          <w:color w:val="000000" w:themeColor="text1"/>
          <w:szCs w:val="32"/>
        </w:rPr>
        <w:t>落实固体废物综合利用的鼓励政策，调动工业企业开展固体废物综合利用的积极性，强化工业固体废物综合利用和处理处置。大力推广先进的工业固体废物综合利用和处置技术</w:t>
      </w:r>
      <w:r>
        <w:rPr>
          <w:rFonts w:hint="eastAsia" w:eastAsia="仿宋"/>
          <w:color w:val="000000" w:themeColor="text1"/>
          <w:szCs w:val="32"/>
        </w:rPr>
        <w:t>，</w:t>
      </w:r>
      <w:r>
        <w:rPr>
          <w:rFonts w:eastAsia="仿宋"/>
          <w:color w:val="000000" w:themeColor="text1"/>
          <w:szCs w:val="32"/>
        </w:rPr>
        <w:t>到2025年，工业固体废物综合利用率达到80%以上。</w:t>
      </w:r>
    </w:p>
    <w:p>
      <w:pPr>
        <w:widowControl/>
        <w:spacing w:line="590" w:lineRule="exact"/>
        <w:ind w:firstLine="643" w:firstLineChars="200"/>
        <w:jc w:val="left"/>
        <w:rPr>
          <w:szCs w:val="32"/>
        </w:rPr>
      </w:pPr>
      <w:r>
        <w:rPr>
          <w:rFonts w:eastAsia="仿宋"/>
          <w:b/>
          <w:bCs/>
          <w:color w:val="000000" w:themeColor="text1"/>
          <w:szCs w:val="32"/>
        </w:rPr>
        <w:t>实施建筑垃圾减量。</w:t>
      </w:r>
      <w:r>
        <w:rPr>
          <w:rFonts w:eastAsia="仿宋"/>
          <w:szCs w:val="32"/>
        </w:rPr>
        <w:t>加强城市建筑垃源头管控，落实建设单位建筑垃圾减量化的首要责任，从源头上预防和减少工程建设过程中建筑垃圾的产生量。</w:t>
      </w:r>
      <w:r>
        <w:rPr>
          <w:rFonts w:eastAsia="仿宋"/>
          <w:color w:val="000000" w:themeColor="text1"/>
          <w:szCs w:val="32"/>
        </w:rPr>
        <w:t>到2025年，新建建筑施工现场建筑垃圾排放量每万平方米不高于300吨，装配式建筑施工现场建筑垃圾排放量每万平方米不高于200吨。</w:t>
      </w:r>
      <w:r>
        <w:rPr>
          <w:rFonts w:eastAsia="仿宋"/>
          <w:szCs w:val="32"/>
        </w:rPr>
        <w:t>推进建筑垃圾资源化利用处置基地规划选址和用地保障，加快建筑垃圾资源化利用设施建设。</w:t>
      </w:r>
      <w:r>
        <w:rPr>
          <w:rFonts w:eastAsia="仿宋"/>
          <w:color w:val="000000" w:themeColor="text1"/>
          <w:szCs w:val="32"/>
        </w:rPr>
        <w:t>到2025年，建筑垃圾资源化利用率达到70%以上。支持建筑垃圾资源化利用企业发展，推广应用建筑垃圾再生产品，将符合标准的建筑垃圾再生产品列入新型绿色建材</w:t>
      </w:r>
      <w:r>
        <w:rPr>
          <w:rFonts w:eastAsia="仿宋"/>
          <w:szCs w:val="32"/>
        </w:rPr>
        <w:t>。</w:t>
      </w:r>
    </w:p>
    <w:p>
      <w:pPr>
        <w:pStyle w:val="17"/>
        <w:spacing w:line="590" w:lineRule="exact"/>
        <w:ind w:firstLine="643" w:firstLineChars="200"/>
        <w:rPr>
          <w:rFonts w:eastAsia="仿宋"/>
        </w:rPr>
      </w:pPr>
      <w:r>
        <w:rPr>
          <w:b/>
          <w:color w:val="000000"/>
          <w:kern w:val="0"/>
          <w:szCs w:val="32"/>
        </w:rPr>
        <w:t>推动塑料污染治理</w:t>
      </w:r>
      <w:r>
        <w:rPr>
          <w:b/>
          <w:color w:val="000000"/>
          <w:szCs w:val="32"/>
        </w:rPr>
        <w:t>。</w:t>
      </w:r>
      <w:r>
        <w:rPr>
          <w:rFonts w:eastAsia="仿宋"/>
          <w:bCs/>
          <w:szCs w:val="32"/>
        </w:rPr>
        <w:t>加强产塑源头管控，严禁生产不符合标准要求的塑料制品。进一步加强塑料污染治理，</w:t>
      </w:r>
      <w:r>
        <w:rPr>
          <w:rFonts w:eastAsia="仿宋"/>
          <w:color w:val="000000"/>
          <w:kern w:val="0"/>
          <w:szCs w:val="32"/>
        </w:rPr>
        <w:t>严格实施《湖南省进一步加强塑料污染治理的实施方案》，禁止、限制部分塑料制品生产、销售和使用，明显减少一次性塑料制品消费量，推动快递、外卖行业包装“减塑”。积极推广应用可循环、易回收、可降解的替代产品，强化塑料废弃物回收利用和处置，</w:t>
      </w:r>
      <w:r>
        <w:rPr>
          <w:rFonts w:eastAsia="仿宋"/>
          <w:bCs/>
          <w:szCs w:val="32"/>
        </w:rPr>
        <w:t>建立健全塑料制品管理长效机制。</w:t>
      </w:r>
    </w:p>
    <w:p>
      <w:pPr>
        <w:spacing w:line="590" w:lineRule="exact"/>
        <w:ind w:firstLine="643" w:firstLineChars="200"/>
        <w:outlineLvl w:val="1"/>
        <w:rPr>
          <w:rFonts w:eastAsia="楷体"/>
          <w:b/>
          <w:bCs/>
          <w:szCs w:val="32"/>
        </w:rPr>
      </w:pPr>
      <w:bookmarkStart w:id="70" w:name="_Toc98755294"/>
      <w:r>
        <w:rPr>
          <w:rFonts w:eastAsia="楷体"/>
          <w:b/>
          <w:bCs/>
          <w:szCs w:val="32"/>
        </w:rPr>
        <w:t>（四）加</w:t>
      </w:r>
      <w:r>
        <w:rPr>
          <w:rFonts w:hint="eastAsia" w:eastAsia="楷体"/>
          <w:b/>
          <w:bCs/>
          <w:szCs w:val="32"/>
        </w:rPr>
        <w:t>强核与辐射</w:t>
      </w:r>
      <w:r>
        <w:rPr>
          <w:rFonts w:eastAsia="楷体"/>
          <w:b/>
          <w:bCs/>
          <w:szCs w:val="32"/>
        </w:rPr>
        <w:t>污染防治</w:t>
      </w:r>
      <w:bookmarkEnd w:id="70"/>
    </w:p>
    <w:p>
      <w:pPr>
        <w:spacing w:line="590" w:lineRule="exact"/>
        <w:ind w:firstLine="640" w:firstLineChars="200"/>
        <w:rPr>
          <w:rFonts w:eastAsia="仿宋"/>
          <w:color w:val="000000" w:themeColor="text1"/>
          <w:szCs w:val="32"/>
        </w:rPr>
      </w:pPr>
      <w:r>
        <w:rPr>
          <w:rFonts w:hint="eastAsia" w:eastAsia="仿宋"/>
          <w:color w:val="000000" w:themeColor="text1"/>
          <w:szCs w:val="32"/>
        </w:rPr>
        <w:t>建立全区核与辐射利用单位清单，开展核与辐射安全风险隐患排查治理三年行动，聚焦高风险点和重点领域，有力防范和及时化解各类风险隐患。落实废旧放射源定期排查制度，逐步完善废旧放射源收贮程序。</w:t>
      </w:r>
    </w:p>
    <w:p>
      <w:pPr>
        <w:spacing w:line="590" w:lineRule="exact"/>
        <w:ind w:firstLine="643" w:firstLineChars="200"/>
        <w:outlineLvl w:val="1"/>
        <w:rPr>
          <w:rFonts w:eastAsia="楷体"/>
          <w:b/>
          <w:bCs/>
          <w:szCs w:val="32"/>
        </w:rPr>
      </w:pPr>
      <w:bookmarkStart w:id="71" w:name="_Toc98755295"/>
      <w:r>
        <w:rPr>
          <w:rFonts w:eastAsia="楷体"/>
          <w:b/>
          <w:bCs/>
          <w:szCs w:val="32"/>
        </w:rPr>
        <w:t>（五）健全环境应急管理体系</w:t>
      </w:r>
      <w:bookmarkEnd w:id="71"/>
    </w:p>
    <w:p>
      <w:pPr>
        <w:spacing w:line="590" w:lineRule="exact"/>
        <w:ind w:firstLine="640" w:firstLineChars="200"/>
        <w:rPr>
          <w:rFonts w:eastAsia="仿宋"/>
          <w:color w:val="000000" w:themeColor="text1"/>
          <w:szCs w:val="32"/>
        </w:rPr>
      </w:pPr>
      <w:r>
        <w:rPr>
          <w:rFonts w:eastAsia="仿宋"/>
          <w:color w:val="000000" w:themeColor="text1"/>
          <w:szCs w:val="32"/>
        </w:rPr>
        <w:t>加强应急物资储备建设、应急队伍建设、风险防范制度建设和建立健全联防联控应急机制等任务</w:t>
      </w:r>
      <w:bookmarkStart w:id="72" w:name="_Toc39755885"/>
      <w:r>
        <w:rPr>
          <w:rFonts w:eastAsia="仿宋"/>
          <w:color w:val="000000" w:themeColor="text1"/>
          <w:szCs w:val="32"/>
        </w:rPr>
        <w:t>，完善生态环境风险和应急管理体系，组建应急监测物资储备库和专家队伍，推进重点领城环境风险防控。加强应急监测预警体系以及应急物资保障体系建设，强化环境风险防范与化解，降低环境污染事件风险机率。2022年底前，开展区域突发环境事件风险评估并完成应急预案修编。</w:t>
      </w:r>
      <w:bookmarkEnd w:id="72"/>
    </w:p>
    <w:p>
      <w:pPr>
        <w:adjustRightInd w:val="0"/>
        <w:snapToGrid w:val="0"/>
      </w:pPr>
    </w:p>
    <w:p>
      <w:pPr>
        <w:pStyle w:val="27"/>
        <w:spacing w:line="590" w:lineRule="exact"/>
        <w:ind w:firstLine="640" w:firstLineChars="200"/>
        <w:rPr>
          <w:rFonts w:ascii="Times New Roman" w:hAnsi="Times New Roman" w:eastAsia="仿宋"/>
          <w:color w:val="000000" w:themeColor="text1"/>
          <w:sz w:val="32"/>
          <w:szCs w:val="32"/>
        </w:rPr>
        <w:sectPr>
          <w:footerReference r:id="rId11" w:type="default"/>
          <w:pgSz w:w="11906" w:h="16838"/>
          <w:pgMar w:top="1440" w:right="1800" w:bottom="1440" w:left="1800" w:header="851" w:footer="992" w:gutter="0"/>
          <w:cols w:space="425" w:num="1"/>
          <w:docGrid w:type="lines" w:linePitch="312" w:charSpace="0"/>
        </w:sectPr>
      </w:pPr>
    </w:p>
    <w:p>
      <w:pPr>
        <w:pStyle w:val="4"/>
        <w:spacing w:before="0" w:after="0" w:line="590" w:lineRule="exact"/>
        <w:rPr>
          <w:rFonts w:ascii="Times New Roman" w:hAnsi="Times New Roman" w:eastAsia="黑体" w:cs="Times New Roman"/>
          <w:b w:val="0"/>
          <w:bCs w:val="0"/>
          <w:color w:val="000000" w:themeColor="text1"/>
        </w:rPr>
      </w:pPr>
      <w:bookmarkStart w:id="73" w:name="_Toc98755296"/>
      <w:r>
        <w:rPr>
          <w:rFonts w:ascii="Times New Roman" w:hAnsi="Times New Roman" w:eastAsia="黑体" w:cs="Times New Roman"/>
          <w:b w:val="0"/>
          <w:bCs w:val="0"/>
          <w:color w:val="000000" w:themeColor="text1"/>
        </w:rPr>
        <w:t>十一、深化改革创新，</w:t>
      </w:r>
      <w:r>
        <w:rPr>
          <w:rFonts w:hint="eastAsia" w:ascii="Times New Roman" w:hAnsi="Times New Roman" w:eastAsia="黑体" w:cs="Times New Roman"/>
          <w:b w:val="0"/>
          <w:bCs w:val="0"/>
          <w:color w:val="000000" w:themeColor="text1"/>
        </w:rPr>
        <w:t>健全环境治理体系</w:t>
      </w:r>
      <w:bookmarkEnd w:id="73"/>
    </w:p>
    <w:p>
      <w:pPr>
        <w:spacing w:line="590" w:lineRule="exact"/>
        <w:ind w:firstLine="643" w:firstLineChars="200"/>
        <w:outlineLvl w:val="1"/>
        <w:rPr>
          <w:rFonts w:eastAsia="楷体"/>
          <w:b/>
          <w:bCs/>
          <w:szCs w:val="32"/>
        </w:rPr>
      </w:pPr>
      <w:bookmarkStart w:id="74" w:name="_Toc98755297"/>
      <w:r>
        <w:rPr>
          <w:rFonts w:eastAsia="楷体"/>
          <w:b/>
          <w:bCs/>
          <w:szCs w:val="32"/>
        </w:rPr>
        <w:t>（一）</w:t>
      </w:r>
      <w:r>
        <w:rPr>
          <w:rFonts w:hint="eastAsia" w:eastAsia="楷体"/>
          <w:b/>
          <w:bCs/>
          <w:szCs w:val="32"/>
        </w:rPr>
        <w:t>完善生态环境治理领导责任体系</w:t>
      </w:r>
      <w:bookmarkEnd w:id="74"/>
    </w:p>
    <w:p>
      <w:pPr>
        <w:pStyle w:val="27"/>
        <w:spacing w:line="590" w:lineRule="exact"/>
        <w:ind w:firstLine="640" w:firstLineChars="200"/>
        <w:rPr>
          <w:rFonts w:ascii="Times New Roman" w:hAnsi="Times New Roman" w:eastAsia="仿宋"/>
          <w:b/>
          <w:bCs/>
          <w:color w:val="000000" w:themeColor="text1"/>
          <w:kern w:val="2"/>
          <w:sz w:val="32"/>
          <w:szCs w:val="32"/>
        </w:rPr>
      </w:pPr>
      <w:r>
        <w:rPr>
          <w:rFonts w:ascii="Times New Roman" w:hAnsi="Times New Roman" w:eastAsia="仿宋"/>
          <w:color w:val="000000" w:themeColor="text1"/>
          <w:kern w:val="2"/>
          <w:sz w:val="32"/>
          <w:szCs w:val="32"/>
        </w:rPr>
        <w:t>推动落实属地责任，强化各级党委、政府的环境保护主体责任，落实“党政同责、一岗双责”。落实相关部门监管责任，建立“管发展必须管环保、管生产必须管环保”的责任体系，推动形成各负其责、齐抓共管的环境保护工作格局。</w:t>
      </w:r>
      <w:r>
        <w:rPr>
          <w:rFonts w:hint="eastAsia" w:ascii="Times New Roman" w:hAnsi="Times New Roman" w:eastAsia="仿宋"/>
          <w:color w:val="000000" w:themeColor="text1"/>
          <w:kern w:val="2"/>
          <w:sz w:val="32"/>
          <w:szCs w:val="32"/>
        </w:rPr>
        <w:t>强化绿色经济和生态环境考核指标在领导干部履职实绩考核中的权重，对于本规划中提出的约束性指标，实施年度目标进度考核评价。探索考核结果运用新机制，强化正向激励，量化刚性问责。</w:t>
      </w:r>
    </w:p>
    <w:p>
      <w:pPr>
        <w:spacing w:line="590" w:lineRule="exact"/>
        <w:ind w:firstLine="643" w:firstLineChars="200"/>
        <w:outlineLvl w:val="1"/>
        <w:rPr>
          <w:rFonts w:eastAsia="楷体"/>
          <w:b/>
          <w:bCs/>
          <w:szCs w:val="32"/>
        </w:rPr>
      </w:pPr>
      <w:bookmarkStart w:id="75" w:name="_Toc98755298"/>
      <w:r>
        <w:rPr>
          <w:rFonts w:eastAsia="楷体"/>
          <w:b/>
          <w:bCs/>
          <w:szCs w:val="32"/>
        </w:rPr>
        <w:t>（二）</w:t>
      </w:r>
      <w:r>
        <w:rPr>
          <w:rFonts w:hint="eastAsia" w:eastAsia="楷体"/>
          <w:b/>
          <w:bCs/>
          <w:szCs w:val="32"/>
        </w:rPr>
        <w:t>完善责任追究制度</w:t>
      </w:r>
      <w:bookmarkEnd w:id="75"/>
    </w:p>
    <w:p>
      <w:pPr>
        <w:spacing w:line="590" w:lineRule="exact"/>
        <w:ind w:firstLine="640" w:firstLineChars="200"/>
        <w:rPr>
          <w:rFonts w:eastAsia="仿宋"/>
          <w:color w:val="000000" w:themeColor="text1"/>
          <w:kern w:val="0"/>
          <w:szCs w:val="32"/>
        </w:rPr>
      </w:pPr>
      <w:r>
        <w:rPr>
          <w:rFonts w:hint="eastAsia" w:eastAsia="仿宋"/>
          <w:color w:val="000000" w:themeColor="text1"/>
          <w:kern w:val="0"/>
          <w:szCs w:val="32"/>
        </w:rPr>
        <w:t>严格落实生态环境损害赔偿制度，构建行政、刑事、民事“三位一体”的责任追究体系，逐步建立涵盖出租者、投资者、采购者等主体的责任追究制度。充分发挥生态环境领域垂直改革的体制优势，按照国家、湖南省和益阳市的有关办法和实施细则，加强生态环境、自然资源、纪检监察、组织管理等部门间的沟通协调，全面实施生态环境损害责任追究制度，并探索在重点工业园区、乡镇一级试点开展。</w:t>
      </w:r>
    </w:p>
    <w:p>
      <w:pPr>
        <w:spacing w:line="590" w:lineRule="exact"/>
        <w:ind w:firstLine="643" w:firstLineChars="200"/>
        <w:outlineLvl w:val="1"/>
        <w:rPr>
          <w:rFonts w:eastAsia="楷体"/>
          <w:b/>
          <w:bCs/>
          <w:szCs w:val="32"/>
        </w:rPr>
      </w:pPr>
      <w:bookmarkStart w:id="76" w:name="_Toc98755299"/>
      <w:r>
        <w:rPr>
          <w:rFonts w:eastAsia="楷体"/>
          <w:b/>
          <w:bCs/>
          <w:szCs w:val="32"/>
        </w:rPr>
        <w:t>（三）</w:t>
      </w:r>
      <w:r>
        <w:rPr>
          <w:rFonts w:hint="eastAsia" w:eastAsia="楷体"/>
          <w:b/>
          <w:bCs/>
          <w:szCs w:val="32"/>
        </w:rPr>
        <w:t>健全服务高质量发展政策体系</w:t>
      </w:r>
      <w:bookmarkEnd w:id="76"/>
    </w:p>
    <w:p>
      <w:pPr>
        <w:spacing w:line="590" w:lineRule="exact"/>
        <w:ind w:firstLine="643" w:firstLineChars="200"/>
        <w:rPr>
          <w:rFonts w:eastAsia="仿宋"/>
          <w:b/>
          <w:bCs/>
          <w:color w:val="000000" w:themeColor="text1"/>
          <w:szCs w:val="32"/>
        </w:rPr>
      </w:pPr>
      <w:r>
        <w:rPr>
          <w:rFonts w:hint="eastAsia" w:eastAsia="仿宋"/>
          <w:b/>
          <w:bCs/>
          <w:color w:val="000000" w:themeColor="text1"/>
          <w:szCs w:val="32"/>
        </w:rPr>
        <w:t>强化生态环境分区管控</w:t>
      </w:r>
      <w:r>
        <w:rPr>
          <w:rFonts w:eastAsia="仿宋"/>
          <w:b/>
          <w:bCs/>
          <w:color w:val="000000" w:themeColor="text1"/>
          <w:szCs w:val="32"/>
        </w:rPr>
        <w:t>。</w:t>
      </w:r>
      <w:r>
        <w:rPr>
          <w:rFonts w:hint="eastAsia" w:eastAsia="仿宋"/>
          <w:color w:val="000000" w:themeColor="text1"/>
          <w:kern w:val="0"/>
          <w:szCs w:val="32"/>
        </w:rPr>
        <w:t>完善“三线一单”生态环境分区管控体系，建立动态更新调整机制。强化“三线一单”在政策制定、环境准入、园区管理、执法监管等方面的应用，规范开发建设活动。健全以环评制度为主体的源头预防体系，落实相关行业环评审批原则和准入条件，强化环评在重点领域重点行业源头预防的效力。</w:t>
      </w:r>
    </w:p>
    <w:p>
      <w:pPr>
        <w:spacing w:line="590" w:lineRule="exact"/>
        <w:ind w:firstLine="643" w:firstLineChars="200"/>
        <w:rPr>
          <w:rFonts w:eastAsia="仿宋"/>
          <w:b/>
          <w:bCs/>
          <w:color w:val="000000" w:themeColor="text1"/>
          <w:szCs w:val="32"/>
        </w:rPr>
      </w:pPr>
      <w:r>
        <w:rPr>
          <w:rFonts w:hint="eastAsia" w:eastAsia="仿宋"/>
          <w:b/>
          <w:bCs/>
          <w:color w:val="000000" w:themeColor="text1"/>
          <w:szCs w:val="32"/>
        </w:rPr>
        <w:t>深化生态环境“放管服”改革</w:t>
      </w:r>
      <w:r>
        <w:rPr>
          <w:rFonts w:eastAsia="仿宋"/>
          <w:b/>
          <w:bCs/>
          <w:color w:val="000000" w:themeColor="text1"/>
          <w:szCs w:val="32"/>
        </w:rPr>
        <w:t>。</w:t>
      </w:r>
      <w:r>
        <w:rPr>
          <w:rFonts w:hint="eastAsia" w:eastAsia="仿宋"/>
          <w:color w:val="000000" w:themeColor="text1"/>
          <w:kern w:val="0"/>
          <w:szCs w:val="32"/>
        </w:rPr>
        <w:t>牢固树立“监管中服务、服务中监管”的理念，继续深化生态环境领域“放管服”改革。简化环评审批程序，持续推进政府服务标准化。推进生态环境监督执法正面清单改革举措制度化，符合正面清单要求的建设项目简化审批程序、缩减审批时间。推进规划环评、建设项目环评联动，进一步细化规划环评、区域评估与项目环评联动的管理要求，避免重复评价、减少时间成本。</w:t>
      </w:r>
    </w:p>
    <w:p>
      <w:pPr>
        <w:spacing w:line="590" w:lineRule="exact"/>
        <w:ind w:firstLine="643" w:firstLineChars="200"/>
        <w:outlineLvl w:val="1"/>
        <w:rPr>
          <w:rFonts w:eastAsia="楷体"/>
          <w:b/>
          <w:bCs/>
          <w:szCs w:val="32"/>
        </w:rPr>
      </w:pPr>
      <w:bookmarkStart w:id="77" w:name="_Toc98755300"/>
      <w:r>
        <w:rPr>
          <w:rFonts w:eastAsia="楷体"/>
          <w:b/>
          <w:bCs/>
          <w:szCs w:val="32"/>
        </w:rPr>
        <w:t>（</w:t>
      </w:r>
      <w:r>
        <w:rPr>
          <w:rFonts w:hint="eastAsia" w:eastAsia="楷体"/>
          <w:b/>
          <w:bCs/>
          <w:szCs w:val="32"/>
        </w:rPr>
        <w:t>四</w:t>
      </w:r>
      <w:r>
        <w:rPr>
          <w:rFonts w:eastAsia="楷体"/>
          <w:b/>
          <w:bCs/>
          <w:szCs w:val="32"/>
        </w:rPr>
        <w:t>）</w:t>
      </w:r>
      <w:r>
        <w:rPr>
          <w:rFonts w:hint="eastAsia" w:eastAsia="楷体"/>
          <w:b/>
          <w:bCs/>
          <w:szCs w:val="32"/>
        </w:rPr>
        <w:t>健全生态环境市场经济政策</w:t>
      </w:r>
      <w:bookmarkEnd w:id="77"/>
    </w:p>
    <w:p>
      <w:pPr>
        <w:spacing w:line="590" w:lineRule="exact"/>
        <w:ind w:firstLine="643" w:firstLineChars="200"/>
        <w:rPr>
          <w:rFonts w:eastAsia="仿宋"/>
          <w:b/>
          <w:bCs/>
          <w:color w:val="000000" w:themeColor="text1"/>
          <w:szCs w:val="32"/>
        </w:rPr>
      </w:pPr>
      <w:r>
        <w:rPr>
          <w:rFonts w:hint="eastAsia" w:eastAsia="仿宋"/>
          <w:b/>
          <w:bCs/>
          <w:color w:val="000000" w:themeColor="text1"/>
          <w:szCs w:val="32"/>
        </w:rPr>
        <w:t>完善绿色发展激励政策</w:t>
      </w:r>
      <w:r>
        <w:rPr>
          <w:rFonts w:eastAsia="仿宋"/>
          <w:b/>
          <w:bCs/>
          <w:color w:val="000000" w:themeColor="text1"/>
          <w:szCs w:val="32"/>
        </w:rPr>
        <w:t>。</w:t>
      </w:r>
      <w:r>
        <w:rPr>
          <w:rFonts w:hint="eastAsia" w:eastAsia="仿宋"/>
          <w:color w:val="000000" w:themeColor="text1"/>
          <w:kern w:val="0"/>
          <w:szCs w:val="32"/>
        </w:rPr>
        <w:t>充分发挥市场在绿色转型中的导向性作用，加快形成有利于绿色低碳发展的财税、价格、金融等制度体系。加大财政专项资金和预算内投资对绿色环保产业发展、能源高效利用、资源循环利用等扶持力度。落实差别化价格政策，逐步完善污水处理收费、固体废物处理收费、节约用水水价、节能环保电价等价格机制。完善税收优惠和财政补贴政策，促进产业结构、能源结构、交通运输结构优化调整。建立以资源环境绩效为导向的约束激励机制，全面推行工业企业资源环境绩效评价，依据评价结果，实行正向激励和反向倒逼。</w:t>
      </w:r>
    </w:p>
    <w:p>
      <w:pPr>
        <w:spacing w:line="590" w:lineRule="exact"/>
        <w:ind w:firstLine="643" w:firstLineChars="200"/>
        <w:rPr>
          <w:rFonts w:eastAsia="仿宋"/>
          <w:b/>
          <w:bCs/>
          <w:color w:val="000000" w:themeColor="text1"/>
          <w:szCs w:val="32"/>
        </w:rPr>
      </w:pPr>
      <w:r>
        <w:rPr>
          <w:rFonts w:eastAsia="仿宋"/>
          <w:b/>
          <w:bCs/>
          <w:color w:val="000000" w:themeColor="text1"/>
          <w:szCs w:val="32"/>
        </w:rPr>
        <w:t>营造有序市场环境。</w:t>
      </w:r>
      <w:r>
        <w:rPr>
          <w:rFonts w:eastAsia="仿宋"/>
          <w:color w:val="000000" w:themeColor="text1"/>
          <w:kern w:val="0"/>
          <w:szCs w:val="32"/>
        </w:rPr>
        <w:t>深入推进生态环境领域“放管服”改革，打破地区、行业壁垒，对各类所有制企业一视同仁，平等对待各类市场主体，引导各类资本参与环境治理投资、建设、运行。加快推进生态环境综合服务模式，创新环境治理模式，积极推广基于环境绩效的整体解决方案、区域一体化服务、第三方治理示范、环境综合治理托管服务、环境修复+开发建设模式，构建统一、公平、透明、规范的生态环境市场。</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kern w:val="2"/>
          <w:sz w:val="32"/>
          <w:szCs w:val="32"/>
        </w:rPr>
        <w:t>健全价格收费机制。</w:t>
      </w:r>
      <w:r>
        <w:rPr>
          <w:rFonts w:ascii="Times New Roman" w:hAnsi="Times New Roman" w:eastAsia="仿宋"/>
          <w:color w:val="000000" w:themeColor="text1"/>
          <w:sz w:val="32"/>
          <w:szCs w:val="32"/>
        </w:rPr>
        <w:t>严格落实“谁污染、谁付费”政策导向，建立健全“污染者付费+第三方治理”等机制。创新执法监管方式和程序，完善执法平台和机制，将执法成本纳入预算；完善生态环境公益诉讼制度，加大生态环境违法案件的查处、侦办、起诉力度；加强生态环境损害案件筛查、索赔、修复监督，落实生态环境损害赔偿制度。</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kern w:val="2"/>
          <w:sz w:val="32"/>
          <w:szCs w:val="32"/>
        </w:rPr>
        <w:t>发展绿色金融。</w:t>
      </w:r>
      <w:r>
        <w:rPr>
          <w:rFonts w:ascii="Times New Roman" w:hAnsi="Times New Roman" w:eastAsia="仿宋"/>
          <w:color w:val="000000" w:themeColor="text1"/>
          <w:sz w:val="32"/>
          <w:szCs w:val="32"/>
        </w:rPr>
        <w:t>推广绿色信贷，采取财政贴息等方式加大扶持力度，鼓励各类金融机构加大绿色信贷的发放力度，明确贷款人的尽职免责要求和环境保护法律责任。充分利用各种融资手段为中小企业清洁生产和科技创新提供资金支持。完善对节能低碳、生态环保项目的各类担保机制，加大风险补偿力度。在固废、危废处理等高风险领域试点建立环境污染强制责任保险制度。</w:t>
      </w:r>
    </w:p>
    <w:p>
      <w:pPr>
        <w:spacing w:line="590" w:lineRule="exact"/>
        <w:ind w:firstLine="643" w:firstLineChars="200"/>
        <w:outlineLvl w:val="1"/>
        <w:rPr>
          <w:rFonts w:eastAsia="楷体"/>
          <w:b/>
          <w:bCs/>
          <w:szCs w:val="32"/>
        </w:rPr>
      </w:pPr>
      <w:bookmarkStart w:id="78" w:name="_Toc98755301"/>
      <w:r>
        <w:rPr>
          <w:rFonts w:eastAsia="楷体"/>
          <w:b/>
          <w:bCs/>
          <w:szCs w:val="32"/>
        </w:rPr>
        <w:t>（</w:t>
      </w:r>
      <w:r>
        <w:rPr>
          <w:rFonts w:hint="eastAsia" w:eastAsia="楷体"/>
          <w:b/>
          <w:bCs/>
          <w:szCs w:val="32"/>
        </w:rPr>
        <w:t>五</w:t>
      </w:r>
      <w:r>
        <w:rPr>
          <w:rFonts w:eastAsia="楷体"/>
          <w:b/>
          <w:bCs/>
          <w:szCs w:val="32"/>
        </w:rPr>
        <w:t>）夯实企业生态环境治理责任体系</w:t>
      </w:r>
      <w:bookmarkEnd w:id="78"/>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rPr>
        <w:t>落实企业治污主体责任。</w:t>
      </w:r>
      <w:r>
        <w:rPr>
          <w:rFonts w:ascii="Times New Roman" w:hAnsi="Times New Roman" w:eastAsia="仿宋"/>
          <w:color w:val="000000" w:themeColor="text1"/>
          <w:sz w:val="32"/>
          <w:szCs w:val="32"/>
        </w:rPr>
        <w:t>约束和激励企业主动落实环保责任。将企事业单位和其他生产经营者的环境违法信息记入社会诚信档案，向社会公开。实施</w:t>
      </w:r>
      <w:r>
        <w:rPr>
          <w:rFonts w:ascii="Times New Roman" w:hAnsi="Times New Roman" w:eastAsia="仿宋"/>
          <w:color w:val="000000" w:themeColor="text1"/>
          <w:kern w:val="2"/>
          <w:sz w:val="32"/>
          <w:szCs w:val="32"/>
        </w:rPr>
        <w:t>环保“领跑者”制度</w:t>
      </w:r>
      <w:r>
        <w:rPr>
          <w:rFonts w:ascii="Times New Roman" w:hAnsi="Times New Roman" w:eastAsia="仿宋"/>
          <w:color w:val="000000" w:themeColor="text1"/>
          <w:sz w:val="32"/>
          <w:szCs w:val="32"/>
        </w:rPr>
        <w:t>，</w:t>
      </w:r>
      <w:r>
        <w:rPr>
          <w:rFonts w:ascii="Times New Roman" w:hAnsi="Times New Roman" w:eastAsia="仿宋"/>
          <w:color w:val="000000" w:themeColor="text1"/>
          <w:kern w:val="2"/>
          <w:sz w:val="32"/>
          <w:szCs w:val="32"/>
        </w:rPr>
        <w:t>采取财政补贴、给予荣誉奖励等措施，激励企业实现更高的环保目标。</w:t>
      </w:r>
      <w:r>
        <w:rPr>
          <w:rFonts w:ascii="Times New Roman" w:hAnsi="Times New Roman" w:eastAsia="仿宋"/>
          <w:color w:val="000000" w:themeColor="text1"/>
          <w:sz w:val="32"/>
          <w:szCs w:val="32"/>
        </w:rPr>
        <w:t>建立健全企业信用评价制度，依法推动企业强制性披露环境信息。</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rPr>
        <w:t>健全环境监管体系。</w:t>
      </w:r>
      <w:r>
        <w:rPr>
          <w:rFonts w:ascii="Times New Roman" w:hAnsi="Times New Roman" w:eastAsia="仿宋"/>
          <w:color w:val="000000" w:themeColor="text1"/>
          <w:sz w:val="32"/>
          <w:szCs w:val="32"/>
        </w:rPr>
        <w:t>加强生态环境分区管治，推进主体功能区建设。落实“三线一单”，完善以环评审批为主体的源头防控体系，全面实行排污许可登记制度，对固定污染源实施全过程管理和多污染物协同控制，实现系统化、科学化、法治化、精细化、信息化的“一证式”管理。</w:t>
      </w:r>
    </w:p>
    <w:p>
      <w:pPr>
        <w:pStyle w:val="27"/>
        <w:spacing w:line="59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rPr>
        <w:t>完善环境信用体系。</w:t>
      </w:r>
      <w:r>
        <w:rPr>
          <w:rFonts w:ascii="Times New Roman" w:hAnsi="Times New Roman" w:eastAsia="仿宋"/>
          <w:color w:val="000000" w:themeColor="text1"/>
          <w:sz w:val="32"/>
          <w:szCs w:val="32"/>
        </w:rPr>
        <w:t>分级建立企业环境信用评价体系，推行企业环保“红黑名单”制度，对环保守法企业给予激励支持，对不良企业予以惩戒，探索建立环境保护失信联合惩戒机制。在行政许可、公共采购、资质等级评定、评先创优、金融支持等工作中，将企业环境信用状况作为重要参考依据。</w:t>
      </w:r>
    </w:p>
    <w:p>
      <w:pPr>
        <w:spacing w:line="590" w:lineRule="exact"/>
        <w:ind w:firstLine="643" w:firstLineChars="200"/>
        <w:outlineLvl w:val="1"/>
        <w:rPr>
          <w:rFonts w:eastAsia="楷体"/>
          <w:b/>
          <w:bCs/>
          <w:szCs w:val="32"/>
        </w:rPr>
      </w:pPr>
      <w:bookmarkStart w:id="79" w:name="_Toc98755302"/>
      <w:r>
        <w:rPr>
          <w:rFonts w:eastAsia="楷体"/>
          <w:b/>
          <w:bCs/>
          <w:szCs w:val="32"/>
        </w:rPr>
        <w:t>（</w:t>
      </w:r>
      <w:r>
        <w:rPr>
          <w:rFonts w:hint="eastAsia" w:eastAsia="楷体"/>
          <w:b/>
          <w:bCs/>
          <w:szCs w:val="32"/>
        </w:rPr>
        <w:t>六</w:t>
      </w:r>
      <w:r>
        <w:rPr>
          <w:rFonts w:eastAsia="楷体"/>
          <w:b/>
          <w:bCs/>
          <w:szCs w:val="32"/>
        </w:rPr>
        <w:t>）构建生态环境治理全民行动体系</w:t>
      </w:r>
      <w:bookmarkEnd w:id="79"/>
    </w:p>
    <w:p>
      <w:pPr>
        <w:pStyle w:val="27"/>
        <w:spacing w:line="590" w:lineRule="exact"/>
        <w:ind w:firstLine="643" w:firstLineChars="200"/>
        <w:rPr>
          <w:rFonts w:ascii="Times New Roman" w:hAnsi="Times New Roman" w:eastAsia="仿宋"/>
          <w:b/>
          <w:bCs/>
          <w:color w:val="000000" w:themeColor="text1"/>
          <w:sz w:val="32"/>
          <w:szCs w:val="32"/>
        </w:rPr>
      </w:pPr>
      <w:r>
        <w:rPr>
          <w:rFonts w:ascii="Times New Roman" w:hAnsi="Times New Roman" w:eastAsia="仿宋"/>
          <w:b/>
          <w:bCs/>
          <w:color w:val="000000" w:themeColor="text1"/>
          <w:sz w:val="32"/>
          <w:szCs w:val="32"/>
        </w:rPr>
        <w:t>加强环境宣传能力。</w:t>
      </w:r>
      <w:r>
        <w:rPr>
          <w:rFonts w:ascii="Times New Roman" w:hAnsi="Times New Roman" w:eastAsia="仿宋"/>
          <w:color w:val="000000" w:themeColor="text1"/>
          <w:sz w:val="32"/>
          <w:szCs w:val="32"/>
        </w:rPr>
        <w:t>加强生态环境法制、宣传和信访工作，组织开展法治宣传教育主题活动，弘扬生态文化、努力提高社会生态文明意识和素养，把生态环境保护教育纳入国民教育、继续教育、干部培训和企业培训体系，广泛动员全民参与生态文明建设。推进政府环境信息政务公开，加大环境监管执法信息公开力度，继续实施城市环境空气质量、污染源在线监测、污染源监管等信息实时公开制度，推进环境信息公开多元化、全面化，拓宽公众参与渠道。</w:t>
      </w:r>
    </w:p>
    <w:p>
      <w:pPr>
        <w:spacing w:line="590" w:lineRule="exact"/>
        <w:ind w:firstLine="643" w:firstLineChars="200"/>
        <w:rPr>
          <w:rFonts w:eastAsia="仿宋"/>
          <w:color w:val="000000" w:themeColor="text1"/>
          <w:kern w:val="0"/>
          <w:szCs w:val="32"/>
        </w:rPr>
      </w:pPr>
      <w:r>
        <w:rPr>
          <w:rFonts w:eastAsia="仿宋"/>
          <w:b/>
          <w:bCs/>
          <w:color w:val="000000" w:themeColor="text1"/>
          <w:kern w:val="0"/>
          <w:szCs w:val="32"/>
        </w:rPr>
        <w:t>强化社会监督。</w:t>
      </w:r>
      <w:r>
        <w:rPr>
          <w:rFonts w:eastAsia="仿宋"/>
          <w:color w:val="000000" w:themeColor="text1"/>
          <w:kern w:val="0"/>
          <w:szCs w:val="32"/>
        </w:rPr>
        <w:t>完善公众监督和举报反馈机制，充分发挥“12369”环保举报热线作用，畅通环保监督渠道。加强舆论监督，鼓励新闻媒体对各类破坏生态环境问题、突发环境事件、环境违法行为进行曝光。引导具备资格的环保组织依法开展生态环境公益诉讼等活动。</w:t>
      </w:r>
    </w:p>
    <w:p>
      <w:pPr>
        <w:spacing w:line="590" w:lineRule="exact"/>
        <w:ind w:firstLine="643" w:firstLineChars="200"/>
        <w:rPr>
          <w:rFonts w:eastAsia="仿宋"/>
          <w:color w:val="000000" w:themeColor="text1"/>
          <w:kern w:val="0"/>
          <w:szCs w:val="32"/>
        </w:rPr>
      </w:pPr>
      <w:r>
        <w:rPr>
          <w:rFonts w:eastAsia="仿宋"/>
          <w:b/>
          <w:bCs/>
          <w:color w:val="000000" w:themeColor="text1"/>
          <w:kern w:val="0"/>
          <w:szCs w:val="32"/>
        </w:rPr>
        <w:t>激发社会环保公益组织活力。</w:t>
      </w:r>
      <w:r>
        <w:rPr>
          <w:rFonts w:eastAsia="仿宋"/>
          <w:color w:val="000000" w:themeColor="text1"/>
          <w:kern w:val="0"/>
          <w:szCs w:val="32"/>
        </w:rPr>
        <w:t>探索研究社会环保公益组织发展办法，促进社会环保公益组织依法、有序承接和履行政府转移职能。鼓励发展环境保护志愿者服务组织，重点培育和优先发展行业协会商会类、科技类、公益慈善类、城乡社区服务类等社会环保公益组织，引导其依法开展活动，参与政策建议，形成公众参与环境保护的良性局面。</w:t>
      </w:r>
    </w:p>
    <w:p>
      <w:pPr>
        <w:spacing w:line="590" w:lineRule="exact"/>
        <w:ind w:firstLine="643" w:firstLineChars="200"/>
        <w:outlineLvl w:val="1"/>
        <w:rPr>
          <w:rFonts w:eastAsia="楷体"/>
          <w:b/>
          <w:bCs/>
          <w:szCs w:val="32"/>
        </w:rPr>
      </w:pPr>
      <w:bookmarkStart w:id="80" w:name="_Toc98755303"/>
      <w:r>
        <w:rPr>
          <w:rFonts w:eastAsia="楷体"/>
          <w:b/>
          <w:bCs/>
          <w:szCs w:val="32"/>
        </w:rPr>
        <w:t>（</w:t>
      </w:r>
      <w:r>
        <w:rPr>
          <w:rFonts w:hint="eastAsia" w:eastAsia="楷体"/>
          <w:b/>
          <w:bCs/>
          <w:szCs w:val="32"/>
        </w:rPr>
        <w:t>七</w:t>
      </w:r>
      <w:r>
        <w:rPr>
          <w:rFonts w:eastAsia="楷体"/>
          <w:b/>
          <w:bCs/>
          <w:szCs w:val="32"/>
        </w:rPr>
        <w:t>）提升生态环境治理能力</w:t>
      </w:r>
      <w:bookmarkEnd w:id="80"/>
    </w:p>
    <w:p>
      <w:pPr>
        <w:adjustRightInd w:val="0"/>
        <w:snapToGrid w:val="0"/>
        <w:spacing w:line="590" w:lineRule="exact"/>
        <w:ind w:firstLine="643" w:firstLineChars="200"/>
        <w:rPr>
          <w:rFonts w:eastAsia="仿宋"/>
          <w:color w:val="000000" w:themeColor="text1"/>
          <w:szCs w:val="32"/>
        </w:rPr>
      </w:pPr>
      <w:r>
        <w:rPr>
          <w:rFonts w:eastAsia="仿宋"/>
          <w:b/>
          <w:bCs/>
          <w:color w:val="000000" w:themeColor="text1"/>
          <w:szCs w:val="32"/>
        </w:rPr>
        <w:t>加强环境监测能力建设。</w:t>
      </w:r>
      <w:r>
        <w:rPr>
          <w:rFonts w:hint="eastAsia" w:eastAsia="仿宋"/>
          <w:color w:val="000000" w:themeColor="text1"/>
          <w:szCs w:val="32"/>
        </w:rPr>
        <w:t>提高自动化监测监控能力。以环境质量、重点污染源、生态环境状况监测监控全覆盖为目标。</w:t>
      </w:r>
      <w:r>
        <w:rPr>
          <w:rFonts w:eastAsia="仿宋"/>
          <w:color w:val="000000" w:themeColor="text1"/>
          <w:szCs w:val="32"/>
        </w:rPr>
        <w:t>全面提升环境监测实验室能力标准化建设水平，形成环境空气、地表水、地下水、土壤、酸雨、噪声等多方面监测分析能力。</w:t>
      </w:r>
      <w:r>
        <w:rPr>
          <w:rFonts w:hint="eastAsia" w:eastAsia="仿宋"/>
          <w:color w:val="000000" w:themeColor="text1"/>
          <w:szCs w:val="32"/>
        </w:rPr>
        <w:t>加强信息化建设。采用物联网、云计算、大数据、区块链、视频监控等技术手段，对重点排污单位、机动车、加油站、工业园区等固定源、移动源、面源实施在线监控。全面提升环境大数据挖掘分析运用能力，开展生态环境大数据采集、分析等研究工作。依托5G基础设施建设布局，提升5G应用能力。</w:t>
      </w:r>
    </w:p>
    <w:p>
      <w:pPr>
        <w:spacing w:line="590" w:lineRule="exact"/>
        <w:ind w:firstLine="643" w:firstLineChars="200"/>
        <w:rPr>
          <w:rFonts w:eastAsia="仿宋"/>
          <w:color w:val="000000" w:themeColor="text1"/>
          <w:szCs w:val="32"/>
        </w:rPr>
      </w:pPr>
      <w:r>
        <w:rPr>
          <w:rFonts w:eastAsia="仿宋"/>
          <w:b/>
          <w:bCs/>
          <w:color w:val="000000" w:themeColor="text1"/>
          <w:szCs w:val="32"/>
        </w:rPr>
        <w:t>强化监管执法能力建设。</w:t>
      </w:r>
      <w:r>
        <w:rPr>
          <w:rFonts w:eastAsia="仿宋"/>
          <w:color w:val="000000" w:themeColor="text1"/>
          <w:szCs w:val="32"/>
        </w:rPr>
        <w:t>强化属地生态环境执法，推动综合执法重心下移、职能下沉、资源下放。</w:t>
      </w:r>
      <w:r>
        <w:rPr>
          <w:rFonts w:eastAsia="仿宋"/>
          <w:szCs w:val="32"/>
        </w:rPr>
        <w:t>到2023年，</w:t>
      </w:r>
      <w:r>
        <w:rPr>
          <w:rFonts w:hint="eastAsia" w:eastAsia="仿宋"/>
          <w:szCs w:val="32"/>
        </w:rPr>
        <w:t>区</w:t>
      </w:r>
      <w:r>
        <w:rPr>
          <w:rFonts w:eastAsia="仿宋"/>
          <w:szCs w:val="32"/>
        </w:rPr>
        <w:t>执法机构全部完成标准化建设，配齐执法车辆、个人移动执法设备、现场执法辅助设备、通讯和办公设备、信息化设备等5大标准化配置。2025年底，基本形成制度体系健全、服装统一、装备设施完善，与生态环境保护事业相适应的生态环境保护综合行政执法体系。</w:t>
      </w:r>
      <w:r>
        <w:rPr>
          <w:rFonts w:eastAsia="仿宋"/>
          <w:color w:val="000000" w:themeColor="text1"/>
          <w:szCs w:val="32"/>
        </w:rPr>
        <w:t>严格生态环境保护执法，对造成生态环境损害的，依法依规追究赔偿责任，对构成犯罪的，依法追究刑事责任。</w:t>
      </w:r>
      <w:r>
        <w:rPr>
          <w:rFonts w:eastAsia="仿宋"/>
          <w:szCs w:val="32"/>
        </w:rPr>
        <w:t>积极探索监管执法过程尽职免责机制，鼓励生态环境监管执法</w:t>
      </w:r>
      <w:r>
        <w:rPr>
          <w:rFonts w:eastAsia="仿宋"/>
          <w:color w:val="000000" w:themeColor="text1"/>
          <w:szCs w:val="32"/>
        </w:rPr>
        <w:t>人员不谋私利、依法尽职、勤勉尽责、大胆执法，切实保障一线执法人员安全。</w:t>
      </w:r>
    </w:p>
    <w:p>
      <w:pPr>
        <w:spacing w:line="590" w:lineRule="exact"/>
        <w:ind w:firstLine="643" w:firstLineChars="200"/>
        <w:rPr>
          <w:rFonts w:eastAsia="仿宋"/>
          <w:color w:val="000000" w:themeColor="text1"/>
          <w:szCs w:val="32"/>
        </w:rPr>
      </w:pPr>
      <w:r>
        <w:rPr>
          <w:rFonts w:eastAsia="仿宋"/>
          <w:b/>
          <w:bCs/>
          <w:color w:val="000000" w:themeColor="text1"/>
          <w:szCs w:val="32"/>
        </w:rPr>
        <w:t>强化环保科技支撑。</w:t>
      </w:r>
      <w:r>
        <w:rPr>
          <w:rFonts w:eastAsia="仿宋"/>
          <w:color w:val="000000" w:themeColor="text1"/>
          <w:szCs w:val="32"/>
        </w:rPr>
        <w:t>继续开展大气、水、土壤、农村污染防治及生态修复、环境风险防范和智慧环保等重大研究，加强灰霾及臭氧污染防控、内湖总磷污染防控、土壤污染治理和修复、废弃物资源化利用等技术攻关。鼓励企业技术创新，引导企业技术改造。推动环保产业发展与科研成果转化。</w:t>
      </w:r>
    </w:p>
    <w:p>
      <w:pPr>
        <w:spacing w:line="590" w:lineRule="exact"/>
        <w:ind w:firstLine="643" w:firstLineChars="200"/>
        <w:rPr>
          <w:rFonts w:eastAsia="仿宋"/>
          <w:color w:val="000000" w:themeColor="text1"/>
          <w:szCs w:val="32"/>
        </w:rPr>
      </w:pPr>
      <w:r>
        <w:rPr>
          <w:rFonts w:eastAsia="仿宋"/>
          <w:b/>
          <w:bCs/>
          <w:color w:val="000000" w:themeColor="text1"/>
          <w:szCs w:val="32"/>
        </w:rPr>
        <w:t>加强人才队伍建设。</w:t>
      </w:r>
      <w:r>
        <w:rPr>
          <w:rFonts w:eastAsia="仿宋"/>
          <w:color w:val="000000" w:themeColor="text1"/>
          <w:szCs w:val="32"/>
        </w:rPr>
        <w:t>加强环保系统行政管理、环境执法和专业技术人才队伍建设，完善选拔、培训、考核等机制，提高队伍业务素质和管理水平，为环保事业发展提供坚实的人才保障和智力支撑。</w:t>
      </w:r>
    </w:p>
    <w:p>
      <w:pPr>
        <w:pStyle w:val="27"/>
        <w:rPr>
          <w:rFonts w:ascii="Times New Roman" w:hAnsi="Times New Roman"/>
        </w:rPr>
      </w:pPr>
    </w:p>
    <w:p>
      <w:pPr>
        <w:pStyle w:val="27"/>
        <w:spacing w:line="590" w:lineRule="exact"/>
        <w:rPr>
          <w:rFonts w:ascii="Times New Roman" w:hAnsi="Times New Roman"/>
          <w:sz w:val="32"/>
          <w:szCs w:val="32"/>
        </w:rPr>
      </w:pP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81" w:name="_Toc98755304"/>
      <w:r>
        <w:rPr>
          <w:rFonts w:ascii="Times New Roman" w:hAnsi="Times New Roman" w:eastAsia="黑体" w:cs="Times New Roman"/>
          <w:b w:val="0"/>
          <w:bCs w:val="0"/>
          <w:color w:val="000000" w:themeColor="text1"/>
        </w:rPr>
        <w:t>十二、建立重点项目库</w:t>
      </w:r>
      <w:bookmarkEnd w:id="81"/>
    </w:p>
    <w:p>
      <w:pPr>
        <w:spacing w:line="590" w:lineRule="exact"/>
        <w:ind w:firstLine="643" w:firstLineChars="200"/>
        <w:rPr>
          <w:rFonts w:eastAsia="仿宋"/>
          <w:color w:val="000000" w:themeColor="text1"/>
          <w:szCs w:val="32"/>
        </w:rPr>
      </w:pPr>
      <w:r>
        <w:rPr>
          <w:rFonts w:eastAsia="仿宋"/>
          <w:b/>
          <w:bCs/>
          <w:color w:val="000000" w:themeColor="text1"/>
          <w:szCs w:val="32"/>
        </w:rPr>
        <w:t>建立重大工程体系。</w:t>
      </w:r>
      <w:r>
        <w:rPr>
          <w:rFonts w:eastAsia="仿宋"/>
          <w:color w:val="000000" w:themeColor="text1"/>
          <w:szCs w:val="32"/>
        </w:rPr>
        <w:t>聚焦重点领域和重点任务，建立益阳市</w:t>
      </w:r>
      <w:r>
        <w:rPr>
          <w:rFonts w:hint="eastAsia" w:eastAsia="仿宋"/>
          <w:color w:val="000000" w:themeColor="text1"/>
          <w:szCs w:val="32"/>
        </w:rPr>
        <w:t>资阳区</w:t>
      </w:r>
      <w:r>
        <w:rPr>
          <w:rFonts w:eastAsia="仿宋"/>
          <w:color w:val="000000" w:themeColor="text1"/>
          <w:szCs w:val="32"/>
        </w:rPr>
        <w:t>“十四五”生态环境保护重点项目库。根据重点任务，入库项目以解决本区域突出环境问题为重点，优先考虑纳入国家相关规划和治理方案的重大工程项目。实施</w:t>
      </w:r>
      <w:r>
        <w:rPr>
          <w:rFonts w:eastAsia="仿宋"/>
          <w:color w:val="000000"/>
          <w:szCs w:val="32"/>
        </w:rPr>
        <w:t>水生态环境提升、大气环境治理、土壤管控与修复、农业农村污染防治、生态保护与修复、风险防范、生态环境治理能力</w:t>
      </w:r>
      <w:r>
        <w:rPr>
          <w:color w:val="000000"/>
          <w:szCs w:val="32"/>
        </w:rPr>
        <w:t>提升</w:t>
      </w:r>
      <w:r>
        <w:rPr>
          <w:rFonts w:eastAsia="仿宋"/>
          <w:color w:val="000000" w:themeColor="text1"/>
          <w:szCs w:val="32"/>
        </w:rPr>
        <w:t>等七大类重点工程。重点项目总投资</w:t>
      </w:r>
      <w:r>
        <w:rPr>
          <w:rFonts w:eastAsia="仿宋"/>
          <w:szCs w:val="32"/>
        </w:rPr>
        <w:t>约</w:t>
      </w:r>
      <w:r>
        <w:rPr>
          <w:rFonts w:hint="eastAsia" w:eastAsia="仿宋"/>
          <w:szCs w:val="32"/>
        </w:rPr>
        <w:t>47.9052</w:t>
      </w:r>
      <w:r>
        <w:rPr>
          <w:rFonts w:eastAsia="仿宋"/>
          <w:szCs w:val="32"/>
        </w:rPr>
        <w:t>亿元</w:t>
      </w:r>
      <w:r>
        <w:rPr>
          <w:rFonts w:eastAsia="仿宋"/>
          <w:color w:val="000000" w:themeColor="text1"/>
          <w:szCs w:val="32"/>
        </w:rPr>
        <w:t>。</w:t>
      </w:r>
    </w:p>
    <w:p>
      <w:pPr>
        <w:spacing w:line="520" w:lineRule="exact"/>
        <w:jc w:val="center"/>
        <w:rPr>
          <w:rFonts w:eastAsia="黑体"/>
          <w:color w:val="000000"/>
          <w:sz w:val="24"/>
          <w:szCs w:val="24"/>
        </w:rPr>
      </w:pPr>
      <w:r>
        <w:rPr>
          <w:rFonts w:eastAsia="黑体"/>
          <w:color w:val="000000"/>
          <w:sz w:val="24"/>
          <w:szCs w:val="24"/>
        </w:rPr>
        <w:t>表</w:t>
      </w:r>
      <w:r>
        <w:rPr>
          <w:rFonts w:hint="eastAsia" w:eastAsia="黑体"/>
          <w:color w:val="000000"/>
          <w:sz w:val="24"/>
          <w:szCs w:val="24"/>
        </w:rPr>
        <w:t>2</w:t>
      </w:r>
      <w:r>
        <w:rPr>
          <w:rFonts w:eastAsia="黑体"/>
          <w:color w:val="000000"/>
          <w:sz w:val="24"/>
          <w:szCs w:val="24"/>
        </w:rPr>
        <w:t>“十四五”规划重点项目投资情况</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4967"/>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4" w:type="pct"/>
            <w:vAlign w:val="center"/>
          </w:tcPr>
          <w:p>
            <w:pPr>
              <w:widowControl/>
              <w:adjustRightInd w:val="0"/>
              <w:snapToGrid w:val="0"/>
              <w:jc w:val="center"/>
              <w:rPr>
                <w:rFonts w:eastAsia="黑体"/>
                <w:bCs/>
                <w:kern w:val="0"/>
                <w:sz w:val="24"/>
                <w:szCs w:val="22"/>
              </w:rPr>
            </w:pPr>
            <w:r>
              <w:rPr>
                <w:rFonts w:eastAsia="黑体"/>
                <w:bCs/>
                <w:kern w:val="0"/>
                <w:sz w:val="24"/>
                <w:szCs w:val="22"/>
              </w:rPr>
              <w:t>序号</w:t>
            </w:r>
          </w:p>
        </w:tc>
        <w:tc>
          <w:tcPr>
            <w:tcW w:w="2914" w:type="pct"/>
            <w:vAlign w:val="center"/>
          </w:tcPr>
          <w:p>
            <w:pPr>
              <w:widowControl/>
              <w:adjustRightInd w:val="0"/>
              <w:snapToGrid w:val="0"/>
              <w:jc w:val="center"/>
              <w:rPr>
                <w:rFonts w:eastAsia="黑体"/>
                <w:bCs/>
                <w:kern w:val="0"/>
                <w:sz w:val="24"/>
                <w:szCs w:val="22"/>
              </w:rPr>
            </w:pPr>
            <w:r>
              <w:rPr>
                <w:rFonts w:eastAsia="黑体"/>
                <w:bCs/>
                <w:kern w:val="0"/>
                <w:sz w:val="24"/>
                <w:szCs w:val="22"/>
              </w:rPr>
              <w:t>类别</w:t>
            </w:r>
          </w:p>
        </w:tc>
        <w:tc>
          <w:tcPr>
            <w:tcW w:w="1312" w:type="pct"/>
            <w:vAlign w:val="center"/>
          </w:tcPr>
          <w:p>
            <w:pPr>
              <w:widowControl/>
              <w:adjustRightInd w:val="0"/>
              <w:snapToGrid w:val="0"/>
              <w:jc w:val="center"/>
              <w:rPr>
                <w:rFonts w:eastAsia="黑体"/>
                <w:bCs/>
                <w:kern w:val="0"/>
                <w:sz w:val="24"/>
                <w:szCs w:val="22"/>
              </w:rPr>
            </w:pPr>
            <w:r>
              <w:rPr>
                <w:rFonts w:eastAsia="黑体"/>
                <w:bCs/>
                <w:kern w:val="0"/>
                <w:sz w:val="24"/>
                <w:szCs w:val="22"/>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4" w:type="pct"/>
            <w:vAlign w:val="center"/>
          </w:tcPr>
          <w:p>
            <w:pPr>
              <w:widowControl/>
              <w:adjustRightInd w:val="0"/>
              <w:snapToGrid w:val="0"/>
              <w:jc w:val="center"/>
              <w:rPr>
                <w:rFonts w:eastAsia="仿宋"/>
                <w:bCs/>
                <w:kern w:val="0"/>
                <w:sz w:val="24"/>
                <w:szCs w:val="22"/>
              </w:rPr>
            </w:pPr>
            <w:r>
              <w:rPr>
                <w:rFonts w:eastAsia="仿宋"/>
                <w:bCs/>
                <w:kern w:val="0"/>
                <w:sz w:val="24"/>
                <w:szCs w:val="22"/>
              </w:rPr>
              <w:t>1</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水生态环境提升</w:t>
            </w:r>
          </w:p>
        </w:tc>
        <w:tc>
          <w:tcPr>
            <w:tcW w:w="1312" w:type="pct"/>
            <w:vAlign w:val="center"/>
          </w:tcPr>
          <w:p>
            <w:pPr>
              <w:widowControl/>
              <w:adjustRightInd w:val="0"/>
              <w:snapToGrid w:val="0"/>
              <w:jc w:val="center"/>
              <w:rPr>
                <w:rFonts w:eastAsia="仿宋"/>
                <w:bCs/>
                <w:kern w:val="0"/>
                <w:sz w:val="24"/>
                <w:szCs w:val="22"/>
              </w:rPr>
            </w:pPr>
            <w:r>
              <w:rPr>
                <w:rFonts w:hint="eastAsia" w:eastAsia="仿宋"/>
                <w:bCs/>
                <w:kern w:val="0"/>
                <w:sz w:val="24"/>
                <w:szCs w:val="22"/>
              </w:rPr>
              <w:t>317700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2</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大气环境治理</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7</w:t>
            </w:r>
            <w:r>
              <w:rPr>
                <w:rFonts w:eastAsia="仿宋"/>
                <w:bCs/>
                <w:kern w:val="0"/>
                <w:sz w:val="24"/>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3</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土壤管控与修复</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4</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农业农村污染防治</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61100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5</w:t>
            </w:r>
          </w:p>
        </w:tc>
        <w:tc>
          <w:tcPr>
            <w:tcW w:w="291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生态保护与修复</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6</w:t>
            </w:r>
          </w:p>
        </w:tc>
        <w:tc>
          <w:tcPr>
            <w:tcW w:w="2914" w:type="pct"/>
            <w:vAlign w:val="center"/>
          </w:tcPr>
          <w:p>
            <w:pPr>
              <w:widowControl/>
              <w:adjustRightInd w:val="0"/>
              <w:snapToGrid w:val="0"/>
              <w:spacing w:line="360" w:lineRule="exact"/>
              <w:jc w:val="center"/>
              <w:rPr>
                <w:rFonts w:eastAsia="仿宋"/>
                <w:bCs/>
                <w:kern w:val="0"/>
                <w:sz w:val="24"/>
                <w:szCs w:val="22"/>
              </w:rPr>
            </w:pPr>
            <w:r>
              <w:rPr>
                <w:rFonts w:hint="eastAsia" w:eastAsia="仿宋"/>
                <w:sz w:val="22"/>
                <w:szCs w:val="22"/>
              </w:rPr>
              <w:t>风险防范</w:t>
            </w:r>
            <w:r>
              <w:rPr>
                <w:rFonts w:eastAsia="仿宋"/>
                <w:sz w:val="22"/>
                <w:szCs w:val="22"/>
              </w:rPr>
              <w:t>类</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53240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7</w:t>
            </w:r>
          </w:p>
        </w:tc>
        <w:tc>
          <w:tcPr>
            <w:tcW w:w="2914" w:type="pct"/>
            <w:vAlign w:val="center"/>
          </w:tcPr>
          <w:p>
            <w:pPr>
              <w:widowControl/>
              <w:adjustRightInd w:val="0"/>
              <w:snapToGrid w:val="0"/>
              <w:spacing w:line="360" w:lineRule="exact"/>
              <w:jc w:val="center"/>
              <w:rPr>
                <w:rFonts w:eastAsia="仿宋"/>
                <w:sz w:val="22"/>
                <w:szCs w:val="22"/>
              </w:rPr>
            </w:pPr>
            <w:r>
              <w:rPr>
                <w:rFonts w:eastAsia="仿宋"/>
                <w:sz w:val="22"/>
                <w:szCs w:val="22"/>
              </w:rPr>
              <w:t>生态环境治理能力提升类</w:t>
            </w: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pct"/>
            <w:vAlign w:val="center"/>
          </w:tcPr>
          <w:p>
            <w:pPr>
              <w:widowControl/>
              <w:adjustRightInd w:val="0"/>
              <w:snapToGrid w:val="0"/>
              <w:spacing w:line="360" w:lineRule="exact"/>
              <w:jc w:val="center"/>
              <w:rPr>
                <w:rFonts w:eastAsia="仿宋"/>
                <w:bCs/>
                <w:kern w:val="0"/>
                <w:sz w:val="24"/>
                <w:szCs w:val="22"/>
              </w:rPr>
            </w:pPr>
            <w:r>
              <w:rPr>
                <w:rFonts w:eastAsia="仿宋"/>
                <w:bCs/>
                <w:kern w:val="0"/>
                <w:sz w:val="24"/>
                <w:szCs w:val="22"/>
              </w:rPr>
              <w:t>合计</w:t>
            </w:r>
          </w:p>
        </w:tc>
        <w:tc>
          <w:tcPr>
            <w:tcW w:w="2914" w:type="pct"/>
            <w:vAlign w:val="center"/>
          </w:tcPr>
          <w:p>
            <w:pPr>
              <w:widowControl/>
              <w:adjustRightInd w:val="0"/>
              <w:snapToGrid w:val="0"/>
              <w:spacing w:line="360" w:lineRule="exact"/>
              <w:jc w:val="center"/>
              <w:rPr>
                <w:rFonts w:eastAsia="仿宋"/>
                <w:bCs/>
                <w:kern w:val="0"/>
                <w:sz w:val="24"/>
                <w:szCs w:val="22"/>
              </w:rPr>
            </w:pPr>
          </w:p>
        </w:tc>
        <w:tc>
          <w:tcPr>
            <w:tcW w:w="1312" w:type="pct"/>
            <w:vAlign w:val="center"/>
          </w:tcPr>
          <w:p>
            <w:pPr>
              <w:widowControl/>
              <w:adjustRightInd w:val="0"/>
              <w:snapToGrid w:val="0"/>
              <w:spacing w:line="360" w:lineRule="exact"/>
              <w:jc w:val="center"/>
              <w:rPr>
                <w:rFonts w:eastAsia="仿宋"/>
                <w:bCs/>
                <w:kern w:val="0"/>
                <w:sz w:val="24"/>
                <w:szCs w:val="22"/>
              </w:rPr>
            </w:pPr>
            <w:r>
              <w:rPr>
                <w:rFonts w:hint="eastAsia" w:eastAsia="仿宋"/>
                <w:bCs/>
                <w:kern w:val="0"/>
                <w:sz w:val="24"/>
                <w:szCs w:val="22"/>
              </w:rPr>
              <w:t>479052</w:t>
            </w:r>
          </w:p>
        </w:tc>
      </w:tr>
    </w:tbl>
    <w:p>
      <w:pPr>
        <w:adjustRightInd w:val="0"/>
        <w:snapToGrid w:val="0"/>
        <w:ind w:firstLine="201" w:firstLineChars="200"/>
        <w:rPr>
          <w:rFonts w:eastAsia="仿宋"/>
          <w:b/>
          <w:bCs/>
          <w:color w:val="000000" w:themeColor="text1"/>
          <w:sz w:val="10"/>
          <w:szCs w:val="10"/>
        </w:rPr>
      </w:pPr>
    </w:p>
    <w:p>
      <w:pPr>
        <w:spacing w:line="590" w:lineRule="exact"/>
        <w:ind w:firstLine="643" w:firstLineChars="200"/>
        <w:rPr>
          <w:rFonts w:eastAsia="仿宋"/>
          <w:color w:val="000000" w:themeColor="text1"/>
          <w:szCs w:val="32"/>
        </w:rPr>
      </w:pPr>
      <w:r>
        <w:rPr>
          <w:rFonts w:eastAsia="仿宋"/>
          <w:b/>
          <w:bCs/>
          <w:color w:val="000000" w:themeColor="text1"/>
          <w:szCs w:val="32"/>
        </w:rPr>
        <w:t>建立定期调整机制。</w:t>
      </w:r>
      <w:r>
        <w:rPr>
          <w:rFonts w:eastAsia="仿宋"/>
          <w:color w:val="000000" w:themeColor="text1"/>
          <w:szCs w:val="32"/>
        </w:rPr>
        <w:t>坚持发展导向、目标导向、问题导向，实施项目滚动管理，及时更新增补和调减项目，形成建成一批、淘汰一批、充实一批的良性循环机制，全面反映项目立项和实施情况，保障环境保护考核目标指标和重点工作任务顺利完成。</w:t>
      </w:r>
    </w:p>
    <w:p>
      <w:pPr>
        <w:spacing w:line="590" w:lineRule="exact"/>
        <w:ind w:firstLine="643" w:firstLineChars="200"/>
        <w:rPr>
          <w:rFonts w:eastAsia="仿宋"/>
          <w:color w:val="000000" w:themeColor="text1"/>
          <w:szCs w:val="32"/>
        </w:rPr>
      </w:pPr>
      <w:r>
        <w:rPr>
          <w:rFonts w:eastAsia="仿宋"/>
          <w:b/>
          <w:bCs/>
          <w:color w:val="000000" w:themeColor="text1"/>
          <w:szCs w:val="32"/>
        </w:rPr>
        <w:t>建立分类实施机制。</w:t>
      </w:r>
      <w:r>
        <w:rPr>
          <w:rFonts w:eastAsia="仿宋"/>
          <w:color w:val="000000" w:themeColor="text1"/>
          <w:szCs w:val="32"/>
        </w:rPr>
        <w:t>对于以政府资金投入为主体的城市污水管网和污水污泥处理处置设施建设与提标、农村环境综合整治等建设工程，加强项目库建设，加大专项资金争取力度。对于基础调查、监测网络建设、执法监管能力建设、生态环境风险防范等基础能力建设提升工程，加强财政资金保障力度。对于以企业为治理主体的非电行业超低排放改造、重点行业挥发性有机物综合整治等工程，推行行业政策，建立激励机制，推进工程任务顺利实施。</w:t>
      </w:r>
    </w:p>
    <w:p>
      <w:pPr>
        <w:spacing w:line="590" w:lineRule="exact"/>
        <w:rPr>
          <w:rFonts w:eastAsia="仿宋"/>
          <w:color w:val="000000" w:themeColor="text1"/>
          <w:szCs w:val="32"/>
        </w:rPr>
      </w:pPr>
      <w:r>
        <w:rPr>
          <w:rFonts w:eastAsia="仿宋"/>
          <w:color w:val="000000" w:themeColor="text1"/>
          <w:szCs w:val="32"/>
        </w:rPr>
        <w:br w:type="page"/>
      </w:r>
    </w:p>
    <w:p>
      <w:pPr>
        <w:pStyle w:val="4"/>
        <w:spacing w:before="0" w:after="0" w:line="590" w:lineRule="exact"/>
        <w:rPr>
          <w:rFonts w:ascii="Times New Roman" w:hAnsi="Times New Roman" w:eastAsia="黑体" w:cs="Times New Roman"/>
          <w:b w:val="0"/>
          <w:bCs w:val="0"/>
          <w:color w:val="000000" w:themeColor="text1"/>
        </w:rPr>
      </w:pPr>
      <w:bookmarkStart w:id="82" w:name="_Toc454985816"/>
      <w:bookmarkStart w:id="83" w:name="_Toc3201"/>
      <w:bookmarkStart w:id="84" w:name="_Toc98755305"/>
      <w:r>
        <w:rPr>
          <w:rFonts w:ascii="Times New Roman" w:hAnsi="Times New Roman" w:eastAsia="黑体" w:cs="Times New Roman"/>
          <w:b w:val="0"/>
          <w:bCs w:val="0"/>
          <w:color w:val="000000" w:themeColor="text1"/>
        </w:rPr>
        <w:t>十三、规划实施保障</w:t>
      </w:r>
      <w:bookmarkEnd w:id="82"/>
      <w:bookmarkEnd w:id="83"/>
      <w:bookmarkEnd w:id="84"/>
    </w:p>
    <w:p>
      <w:pPr>
        <w:spacing w:line="590" w:lineRule="exact"/>
        <w:ind w:firstLine="643" w:firstLineChars="200"/>
        <w:outlineLvl w:val="1"/>
        <w:rPr>
          <w:rFonts w:eastAsia="楷体"/>
          <w:b/>
          <w:bCs/>
          <w:szCs w:val="32"/>
        </w:rPr>
      </w:pPr>
      <w:bookmarkStart w:id="85" w:name="_Toc98755306"/>
      <w:r>
        <w:rPr>
          <w:rFonts w:eastAsia="楷体"/>
          <w:b/>
          <w:bCs/>
          <w:szCs w:val="32"/>
        </w:rPr>
        <w:t>（一）</w:t>
      </w:r>
      <w:r>
        <w:rPr>
          <w:rFonts w:hint="eastAsia" w:eastAsia="楷体"/>
          <w:b/>
          <w:bCs/>
          <w:szCs w:val="32"/>
        </w:rPr>
        <w:t>明确责任分工，落实目标任务</w:t>
      </w:r>
      <w:bookmarkEnd w:id="85"/>
    </w:p>
    <w:p>
      <w:pPr>
        <w:pStyle w:val="2"/>
        <w:spacing w:line="590" w:lineRule="exact"/>
        <w:ind w:firstLine="640" w:firstLineChars="200"/>
        <w:rPr>
          <w:rFonts w:ascii="Times New Roman" w:hAnsi="Times New Roman" w:eastAsia="仿宋"/>
          <w:color w:val="000000" w:themeColor="text1"/>
          <w:szCs w:val="32"/>
        </w:rPr>
      </w:pPr>
      <w:r>
        <w:rPr>
          <w:rFonts w:hint="eastAsia" w:ascii="Times New Roman" w:hAnsi="Times New Roman" w:eastAsia="仿宋"/>
          <w:color w:val="000000" w:themeColor="text1"/>
          <w:szCs w:val="32"/>
        </w:rPr>
        <w:t>明确区政府有关部们职责与任务。制定并公布生态环境保护年度目标和重点任务，落实责任清单，明确有关部门根据职责分工，制定有利于生态环境保护的政策机制，将规划确定的目标任务与部门工作紧密结合，制定本部门落实规划的方案计划，同时加强对地方的指导与支持，推动目标任务的落实。本规划是资阳区“十四五”生态环境领域的基础性文件，生态环境各要素各领域编制专项规划编制时要与本规划做好衔接，进一步细化落实各项目标任务。</w:t>
      </w:r>
    </w:p>
    <w:p>
      <w:pPr>
        <w:spacing w:line="590" w:lineRule="exact"/>
        <w:ind w:firstLine="643" w:firstLineChars="200"/>
        <w:outlineLvl w:val="1"/>
        <w:rPr>
          <w:rFonts w:eastAsia="楷体"/>
          <w:b/>
          <w:bCs/>
          <w:szCs w:val="32"/>
        </w:rPr>
      </w:pPr>
      <w:bookmarkStart w:id="86" w:name="_Toc98755307"/>
      <w:r>
        <w:rPr>
          <w:rFonts w:eastAsia="楷体"/>
          <w:b/>
          <w:bCs/>
          <w:szCs w:val="32"/>
        </w:rPr>
        <w:t>（二）</w:t>
      </w:r>
      <w:r>
        <w:rPr>
          <w:rFonts w:hint="eastAsia" w:eastAsia="楷体"/>
          <w:b/>
          <w:bCs/>
          <w:szCs w:val="32"/>
        </w:rPr>
        <w:t>强化资金保障，拓宽投入渠道</w:t>
      </w:r>
      <w:bookmarkEnd w:id="86"/>
    </w:p>
    <w:p>
      <w:pPr>
        <w:pStyle w:val="2"/>
        <w:spacing w:line="590" w:lineRule="exact"/>
        <w:ind w:firstLine="640" w:firstLineChars="200"/>
        <w:rPr>
          <w:rFonts w:ascii="Times New Roman" w:hAnsi="Times New Roman" w:eastAsia="仿宋"/>
          <w:color w:val="000000" w:themeColor="text1"/>
          <w:szCs w:val="32"/>
        </w:rPr>
      </w:pPr>
      <w:r>
        <w:rPr>
          <w:rFonts w:hint="eastAsia" w:ascii="Times New Roman" w:hAnsi="Times New Roman" w:eastAsia="仿宋"/>
        </w:rPr>
        <w:t>区政府要加大资金和政策支持力度，推进生态环境保护工作的落实。加大财政资金保障，重点支持环保基础设施、污染综合整治和生态建设。积极争取国家、省、市级资金支持，提前做好项目储备，积极申报上级资金补助项目。动员全社会各方面的力量，引入社会资本，推动环保第三方服务多渠道增加对环保建设的投入。重点加大对大气、水、土壤、固废污染治理的支持力度，把资金集中于突出的环境问题，对于环境保护和生态建设资金的投入和使用进行合理制约、检查和监督。</w:t>
      </w:r>
    </w:p>
    <w:p>
      <w:pPr>
        <w:spacing w:line="590" w:lineRule="exact"/>
        <w:ind w:firstLine="643" w:firstLineChars="200"/>
        <w:outlineLvl w:val="1"/>
        <w:rPr>
          <w:rFonts w:eastAsia="楷体"/>
          <w:b/>
          <w:bCs/>
          <w:szCs w:val="32"/>
        </w:rPr>
      </w:pPr>
      <w:bookmarkStart w:id="87" w:name="_Toc98755308"/>
      <w:r>
        <w:rPr>
          <w:rFonts w:eastAsia="楷体"/>
          <w:b/>
          <w:bCs/>
          <w:szCs w:val="32"/>
        </w:rPr>
        <w:t>（三）</w:t>
      </w:r>
      <w:r>
        <w:rPr>
          <w:rFonts w:hint="eastAsia" w:eastAsia="楷体"/>
          <w:b/>
          <w:bCs/>
          <w:szCs w:val="32"/>
        </w:rPr>
        <w:t>加强法制宣传，动员公众参与</w:t>
      </w:r>
      <w:bookmarkEnd w:id="87"/>
    </w:p>
    <w:p>
      <w:pPr>
        <w:pStyle w:val="2"/>
        <w:spacing w:line="590" w:lineRule="exact"/>
        <w:ind w:firstLine="640" w:firstLineChars="200"/>
        <w:rPr>
          <w:rFonts w:ascii="Times New Roman" w:hAnsi="Times New Roman" w:eastAsia="仿宋"/>
          <w:szCs w:val="32"/>
        </w:rPr>
      </w:pPr>
      <w:r>
        <w:rPr>
          <w:rFonts w:hint="eastAsia" w:ascii="Times New Roman" w:hAnsi="Times New Roman" w:eastAsia="仿宋"/>
          <w:szCs w:val="32"/>
        </w:rPr>
        <w:t>为深入推进全民参与环保行动，积极推进环境保护和生态文明建设，凝聚环境保护事业发展的正能量，以全面提高全社会的环境意识为目标，以围绕服务民生、贴近基层、贴近群众为导向，以宣传环保法律法规和倡导生活绿色化为重点，紧紧围绕全区生态文明建设和环保中心工作为重点开展宣传，创新思路，完善机制，凝聚力量，讲求实效，积极营造环境保护良好的舆论氛围和社会风气。进一步强化全民法治意识和社会责任意识，积极引导社会各界和广大公众关心、支持、参与、监督生态文明建设，共建共享生态文明。</w:t>
      </w:r>
    </w:p>
    <w:p>
      <w:pPr>
        <w:spacing w:line="590" w:lineRule="exact"/>
        <w:ind w:firstLine="643" w:firstLineChars="200"/>
        <w:outlineLvl w:val="1"/>
        <w:rPr>
          <w:rFonts w:eastAsia="楷体"/>
          <w:b/>
          <w:bCs/>
          <w:szCs w:val="32"/>
        </w:rPr>
      </w:pPr>
      <w:bookmarkStart w:id="88" w:name="_Toc98755309"/>
      <w:r>
        <w:rPr>
          <w:rFonts w:eastAsia="楷体"/>
          <w:b/>
          <w:bCs/>
          <w:szCs w:val="32"/>
        </w:rPr>
        <w:t>（四）开展评估考核</w:t>
      </w:r>
      <w:bookmarkEnd w:id="88"/>
    </w:p>
    <w:p>
      <w:pPr>
        <w:pStyle w:val="2"/>
        <w:spacing w:line="590" w:lineRule="exact"/>
        <w:ind w:firstLine="640" w:firstLineChars="200"/>
        <w:rPr>
          <w:rFonts w:ascii="Times New Roman" w:hAnsi="Times New Roman" w:eastAsia="仿宋"/>
          <w:color w:val="000000" w:themeColor="text1"/>
          <w:szCs w:val="32"/>
        </w:rPr>
      </w:pPr>
      <w:r>
        <w:rPr>
          <w:rFonts w:ascii="Times New Roman" w:hAnsi="Times New Roman" w:eastAsia="仿宋"/>
          <w:color w:val="000000" w:themeColor="text1"/>
          <w:szCs w:val="32"/>
        </w:rPr>
        <w:t>2023年组织对规划执行情况进行中期评估，2025年底对规划执行情况进行终期考核，</w:t>
      </w:r>
      <w:r>
        <w:rPr>
          <w:rFonts w:hint="eastAsia" w:ascii="Times New Roman" w:hAnsi="Times New Roman" w:eastAsia="仿宋"/>
          <w:color w:val="000000" w:themeColor="text1"/>
          <w:szCs w:val="32"/>
        </w:rPr>
        <w:t>益阳市生态环境局资阳分局会同相关部门围绕本规划目标指标、重点任务等，对规划执行情况实行年度监测分析，及时发现和解决出现的问题，推动规划任务落实，评估结果向区政府报告，向社会公布</w:t>
      </w:r>
    </w:p>
    <w:p>
      <w:pPr>
        <w:pStyle w:val="2"/>
        <w:spacing w:line="590" w:lineRule="exact"/>
        <w:ind w:firstLine="640" w:firstLineChars="200"/>
        <w:rPr>
          <w:rFonts w:ascii="Times New Roman" w:hAnsi="Times New Roman" w:eastAsia="仿宋"/>
          <w:color w:val="000000" w:themeColor="text1"/>
          <w:szCs w:val="32"/>
        </w:rPr>
      </w:pPr>
    </w:p>
    <w:p>
      <w:pPr>
        <w:pStyle w:val="2"/>
        <w:spacing w:line="590" w:lineRule="exact"/>
        <w:rPr>
          <w:rFonts w:ascii="Times New Roman" w:hAnsi="Times New Roman" w:eastAsia="仿宋"/>
          <w:color w:val="000000" w:themeColor="text1"/>
          <w:szCs w:val="32"/>
        </w:rPr>
      </w:pPr>
    </w:p>
    <w:p>
      <w:pPr>
        <w:pStyle w:val="2"/>
        <w:spacing w:line="590" w:lineRule="exact"/>
        <w:rPr>
          <w:rFonts w:ascii="Times New Roman" w:hAnsi="Times New Roman" w:eastAsia="仿宋"/>
          <w:color w:val="000000" w:themeColor="text1"/>
          <w:szCs w:val="32"/>
        </w:rPr>
      </w:pPr>
    </w:p>
    <w:p>
      <w:pPr>
        <w:pStyle w:val="2"/>
        <w:spacing w:line="590" w:lineRule="exact"/>
        <w:ind w:left="-160" w:leftChars="-50" w:right="-160" w:rightChars="-50"/>
        <w:jc w:val="center"/>
        <w:rPr>
          <w:rFonts w:ascii="Times New Roman" w:hAnsi="Times New Roman" w:eastAsia="仿宋"/>
          <w:color w:val="000000" w:themeColor="text1"/>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olor w:val="000000"/>
          <w:kern w:val="0"/>
          <w:szCs w:val="32"/>
        </w:rPr>
        <w:t>附件：《益阳市</w:t>
      </w:r>
      <w:r>
        <w:rPr>
          <w:rFonts w:hint="eastAsia" w:ascii="Times New Roman" w:hAnsi="Times New Roman" w:eastAsia="仿宋"/>
          <w:color w:val="000000"/>
          <w:kern w:val="0"/>
          <w:szCs w:val="32"/>
        </w:rPr>
        <w:t>资阳区</w:t>
      </w:r>
      <w:r>
        <w:rPr>
          <w:rFonts w:ascii="Times New Roman" w:hAnsi="Times New Roman" w:eastAsia="仿宋"/>
          <w:color w:val="000000"/>
          <w:kern w:val="0"/>
          <w:szCs w:val="32"/>
        </w:rPr>
        <w:t>“十四五”生态环境保护规划》重点工程</w:t>
      </w:r>
    </w:p>
    <w:p>
      <w:pPr>
        <w:jc w:val="left"/>
        <w:rPr>
          <w:rFonts w:eastAsia="黑体"/>
          <w:color w:val="000000"/>
          <w:kern w:val="0"/>
          <w:szCs w:val="32"/>
        </w:rPr>
      </w:pPr>
      <w:r>
        <w:rPr>
          <w:rFonts w:eastAsia="黑体"/>
          <w:color w:val="000000"/>
          <w:kern w:val="0"/>
          <w:szCs w:val="32"/>
        </w:rPr>
        <w:t>附件</w:t>
      </w:r>
    </w:p>
    <w:p>
      <w:pPr>
        <w:jc w:val="center"/>
        <w:rPr>
          <w:rFonts w:eastAsia="黑体"/>
          <w:color w:val="000000"/>
          <w:kern w:val="0"/>
          <w:szCs w:val="32"/>
        </w:rPr>
      </w:pPr>
      <w:r>
        <w:rPr>
          <w:rFonts w:eastAsia="黑体"/>
          <w:color w:val="000000"/>
          <w:kern w:val="0"/>
          <w:szCs w:val="32"/>
        </w:rPr>
        <w:t>《益阳市</w:t>
      </w:r>
      <w:r>
        <w:rPr>
          <w:rFonts w:hint="eastAsia" w:eastAsia="黑体"/>
          <w:color w:val="000000"/>
          <w:kern w:val="0"/>
          <w:szCs w:val="32"/>
        </w:rPr>
        <w:t>资阳区</w:t>
      </w:r>
      <w:r>
        <w:rPr>
          <w:rFonts w:eastAsia="黑体"/>
          <w:color w:val="000000"/>
          <w:kern w:val="0"/>
          <w:szCs w:val="32"/>
        </w:rPr>
        <w:t>“十四五”生态环境保护规划》重点工程</w:t>
      </w:r>
    </w:p>
    <w:tbl>
      <w:tblPr>
        <w:tblStyle w:val="19"/>
        <w:tblW w:w="13287" w:type="dxa"/>
        <w:jc w:val="center"/>
        <w:tblLayout w:type="fixed"/>
        <w:tblCellMar>
          <w:top w:w="0" w:type="dxa"/>
          <w:left w:w="0" w:type="dxa"/>
          <w:bottom w:w="0" w:type="dxa"/>
          <w:right w:w="0" w:type="dxa"/>
        </w:tblCellMar>
      </w:tblPr>
      <w:tblGrid>
        <w:gridCol w:w="1665"/>
        <w:gridCol w:w="587"/>
        <w:gridCol w:w="2291"/>
        <w:gridCol w:w="803"/>
        <w:gridCol w:w="910"/>
        <w:gridCol w:w="894"/>
        <w:gridCol w:w="5164"/>
        <w:gridCol w:w="973"/>
      </w:tblGrid>
      <w:tr>
        <w:tblPrEx>
          <w:tblCellMar>
            <w:top w:w="0" w:type="dxa"/>
            <w:left w:w="0" w:type="dxa"/>
            <w:bottom w:w="0" w:type="dxa"/>
            <w:right w:w="0" w:type="dxa"/>
          </w:tblCellMar>
        </w:tblPrEx>
        <w:trPr>
          <w:trHeight w:val="720" w:hRule="atLeast"/>
          <w:tblHeader/>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tabs>
                <w:tab w:val="left" w:pos="4990"/>
              </w:tabs>
              <w:snapToGrid w:val="0"/>
              <w:jc w:val="center"/>
              <w:rPr>
                <w:rFonts w:eastAsia="仿宋"/>
                <w:b/>
                <w:bCs/>
                <w:color w:val="000000"/>
                <w:kern w:val="0"/>
                <w:sz w:val="22"/>
                <w:szCs w:val="22"/>
              </w:rPr>
            </w:pPr>
            <w:r>
              <w:rPr>
                <w:rFonts w:eastAsia="仿宋"/>
                <w:b/>
                <w:bCs/>
                <w:color w:val="000000"/>
                <w:kern w:val="0"/>
                <w:sz w:val="22"/>
                <w:szCs w:val="22"/>
              </w:rPr>
              <w:t>所属类别</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990"/>
              </w:tabs>
              <w:snapToGrid w:val="0"/>
              <w:jc w:val="center"/>
              <w:rPr>
                <w:rFonts w:eastAsia="仿宋"/>
                <w:b/>
                <w:bCs/>
                <w:color w:val="000000"/>
                <w:sz w:val="22"/>
                <w:szCs w:val="22"/>
              </w:rPr>
            </w:pPr>
            <w:r>
              <w:rPr>
                <w:rFonts w:eastAsia="仿宋"/>
                <w:b/>
                <w:bCs/>
                <w:color w:val="000000"/>
                <w:kern w:val="0"/>
                <w:sz w:val="22"/>
                <w:szCs w:val="22"/>
              </w:rPr>
              <w:t>序号</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sz w:val="22"/>
                <w:szCs w:val="22"/>
              </w:rPr>
            </w:pPr>
            <w:r>
              <w:rPr>
                <w:rFonts w:eastAsia="仿宋"/>
                <w:b/>
                <w:bCs/>
                <w:color w:val="000000"/>
                <w:kern w:val="0"/>
                <w:sz w:val="22"/>
                <w:szCs w:val="22"/>
              </w:rPr>
              <w:t>项目名称</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sz w:val="22"/>
                <w:szCs w:val="22"/>
              </w:rPr>
            </w:pPr>
            <w:r>
              <w:rPr>
                <w:rFonts w:eastAsia="仿宋"/>
                <w:b/>
                <w:bCs/>
                <w:color w:val="000000"/>
                <w:kern w:val="0"/>
                <w:sz w:val="22"/>
                <w:szCs w:val="22"/>
              </w:rPr>
              <w:t>所在地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kern w:val="0"/>
                <w:sz w:val="22"/>
                <w:szCs w:val="22"/>
              </w:rPr>
            </w:pPr>
            <w:r>
              <w:rPr>
                <w:rFonts w:eastAsia="仿宋"/>
                <w:b/>
                <w:bCs/>
                <w:color w:val="000000"/>
                <w:kern w:val="0"/>
                <w:sz w:val="22"/>
                <w:szCs w:val="22"/>
              </w:rPr>
              <w:t>开工</w:t>
            </w:r>
          </w:p>
          <w:p>
            <w:pPr>
              <w:widowControl/>
              <w:snapToGrid w:val="0"/>
              <w:jc w:val="center"/>
              <w:textAlignment w:val="center"/>
              <w:rPr>
                <w:rFonts w:eastAsia="仿宋"/>
                <w:b/>
                <w:bCs/>
                <w:color w:val="000000"/>
                <w:sz w:val="22"/>
                <w:szCs w:val="22"/>
              </w:rPr>
            </w:pPr>
            <w:r>
              <w:rPr>
                <w:rFonts w:eastAsia="仿宋"/>
                <w:b/>
                <w:bCs/>
                <w:color w:val="000000"/>
                <w:kern w:val="0"/>
                <w:sz w:val="22"/>
                <w:szCs w:val="22"/>
              </w:rPr>
              <w:t>年份</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kern w:val="0"/>
                <w:sz w:val="22"/>
                <w:szCs w:val="22"/>
              </w:rPr>
            </w:pPr>
            <w:r>
              <w:rPr>
                <w:rFonts w:eastAsia="仿宋"/>
                <w:b/>
                <w:bCs/>
                <w:color w:val="000000"/>
                <w:kern w:val="0"/>
                <w:sz w:val="22"/>
                <w:szCs w:val="22"/>
              </w:rPr>
              <w:t>竣工</w:t>
            </w:r>
          </w:p>
          <w:p>
            <w:pPr>
              <w:widowControl/>
              <w:snapToGrid w:val="0"/>
              <w:jc w:val="center"/>
              <w:textAlignment w:val="center"/>
              <w:rPr>
                <w:rFonts w:eastAsia="仿宋"/>
                <w:b/>
                <w:bCs/>
                <w:color w:val="000000"/>
                <w:sz w:val="22"/>
                <w:szCs w:val="22"/>
              </w:rPr>
            </w:pPr>
            <w:r>
              <w:rPr>
                <w:rFonts w:eastAsia="仿宋"/>
                <w:b/>
                <w:bCs/>
                <w:color w:val="000000"/>
                <w:kern w:val="0"/>
                <w:sz w:val="22"/>
                <w:szCs w:val="22"/>
              </w:rPr>
              <w:t>年份</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sz w:val="22"/>
                <w:szCs w:val="22"/>
              </w:rPr>
            </w:pPr>
            <w:r>
              <w:rPr>
                <w:rFonts w:eastAsia="仿宋"/>
                <w:b/>
                <w:bCs/>
                <w:color w:val="000000"/>
                <w:kern w:val="0"/>
                <w:sz w:val="22"/>
                <w:szCs w:val="22"/>
              </w:rPr>
              <w:t>建设内容及规模</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b/>
                <w:bCs/>
                <w:color w:val="000000"/>
                <w:sz w:val="22"/>
                <w:szCs w:val="22"/>
              </w:rPr>
            </w:pPr>
            <w:r>
              <w:rPr>
                <w:rFonts w:eastAsia="仿宋"/>
                <w:b/>
                <w:bCs/>
                <w:color w:val="000000"/>
                <w:kern w:val="0"/>
                <w:sz w:val="22"/>
                <w:szCs w:val="22"/>
              </w:rPr>
              <w:t>总投资</w:t>
            </w:r>
            <w:r>
              <w:rPr>
                <w:rStyle w:val="52"/>
                <w:rFonts w:eastAsia="仿宋"/>
                <w:b/>
                <w:bCs/>
              </w:rPr>
              <w:t>/</w:t>
            </w:r>
            <w:r>
              <w:rPr>
                <w:rStyle w:val="53"/>
                <w:rFonts w:hint="default" w:eastAsia="仿宋"/>
                <w:b/>
                <w:bCs/>
              </w:rPr>
              <w:t>万元</w:t>
            </w:r>
          </w:p>
        </w:tc>
      </w:tr>
      <w:tr>
        <w:tblPrEx>
          <w:tblCellMar>
            <w:top w:w="0" w:type="dxa"/>
            <w:left w:w="0" w:type="dxa"/>
            <w:bottom w:w="0" w:type="dxa"/>
            <w:right w:w="0" w:type="dxa"/>
          </w:tblCellMar>
        </w:tblPrEx>
        <w:trPr>
          <w:trHeight w:val="531" w:hRule="atLeast"/>
          <w:jc w:val="center"/>
        </w:trPr>
        <w:tc>
          <w:tcPr>
            <w:tcW w:w="16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color w:val="000000"/>
                <w:kern w:val="0"/>
                <w:sz w:val="22"/>
                <w:szCs w:val="22"/>
              </w:rPr>
              <w:t>一、</w:t>
            </w:r>
            <w:r>
              <w:rPr>
                <w:rFonts w:eastAsia="仿宋"/>
                <w:sz w:val="22"/>
                <w:szCs w:val="22"/>
              </w:rPr>
              <w:t>水生态环境提升类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资水尾闾水环境治理工程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茈湖口镇柘头河村至明朗长</w:t>
            </w:r>
            <w:r>
              <w:rPr>
                <w:rStyle w:val="52"/>
                <w:rFonts w:eastAsia="仿宋"/>
              </w:rPr>
              <w:t>6</w:t>
            </w:r>
            <w:r>
              <w:rPr>
                <w:rStyle w:val="53"/>
                <w:rFonts w:hint="default" w:eastAsia="仿宋"/>
              </w:rPr>
              <w:t>公里宽</w:t>
            </w:r>
            <w:r>
              <w:rPr>
                <w:rStyle w:val="52"/>
                <w:rFonts w:eastAsia="仿宋"/>
              </w:rPr>
              <w:t>200</w:t>
            </w:r>
            <w:r>
              <w:rPr>
                <w:rStyle w:val="53"/>
                <w:rFonts w:hint="default" w:eastAsia="仿宋"/>
              </w:rPr>
              <w:t>米河道清淤、生态护坡、恢复洲滩植被等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4800</w:t>
            </w:r>
          </w:p>
        </w:tc>
      </w:tr>
      <w:tr>
        <w:tblPrEx>
          <w:tblCellMar>
            <w:top w:w="0" w:type="dxa"/>
            <w:left w:w="0" w:type="dxa"/>
            <w:bottom w:w="0" w:type="dxa"/>
            <w:right w:w="0" w:type="dxa"/>
          </w:tblCellMar>
        </w:tblPrEx>
        <w:trPr>
          <w:trHeight w:val="1078"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2</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资阳区水土保持生态清洁小流域建设工程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新桥河、迎风桥、长春及民主垸等四个片区的封育保护、经果林、水保林、水土保持种草、河道生态修复、山塘整治、生态沟渠、截排水、生产便道、人工湿地、村庄美化绿化、节水管道等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15700</w:t>
            </w:r>
          </w:p>
        </w:tc>
      </w:tr>
      <w:tr>
        <w:tblPrEx>
          <w:tblCellMar>
            <w:top w:w="0" w:type="dxa"/>
            <w:left w:w="0" w:type="dxa"/>
            <w:bottom w:w="0" w:type="dxa"/>
            <w:right w:w="0" w:type="dxa"/>
          </w:tblCellMar>
        </w:tblPrEx>
        <w:trPr>
          <w:trHeight w:val="785"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3</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资阳区长春垸重点流域水生态保护及修复工程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完成南门湖、先锋湖、黄家湖及迎丰水库湖泊岸线保护及河湖水体生态修复、景观工程建设等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72000</w:t>
            </w:r>
          </w:p>
        </w:tc>
      </w:tr>
      <w:tr>
        <w:tblPrEx>
          <w:tblCellMar>
            <w:top w:w="0" w:type="dxa"/>
            <w:left w:w="0" w:type="dxa"/>
            <w:bottom w:w="0" w:type="dxa"/>
            <w:right w:w="0" w:type="dxa"/>
          </w:tblCellMar>
        </w:tblPrEx>
        <w:trPr>
          <w:trHeight w:val="124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4</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资阳区民主垸水系连通及农村水系水生态环境综合治理工程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民主垸内黄荆湖、德兴湖、洪合湖、长泊湖、注南湖、刘家湖、团湖、哑湖等八大水系连通，包括水系的生态沟渠、涵闸、建筑物整治、水系湖泊底泥清除及滨岸带生态治理等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119300</w:t>
            </w:r>
          </w:p>
        </w:tc>
      </w:tr>
      <w:tr>
        <w:tblPrEx>
          <w:tblCellMar>
            <w:top w:w="0" w:type="dxa"/>
            <w:left w:w="0" w:type="dxa"/>
            <w:bottom w:w="0" w:type="dxa"/>
            <w:right w:w="0" w:type="dxa"/>
          </w:tblCellMar>
        </w:tblPrEx>
        <w:trPr>
          <w:trHeight w:val="658"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5</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资阳区饮用水水源地水生态保护工程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岸线及沟渠生态护坡、生态隔离带、生态步道建设等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27200</w:t>
            </w:r>
          </w:p>
        </w:tc>
      </w:tr>
      <w:tr>
        <w:tblPrEx>
          <w:tblCellMar>
            <w:top w:w="0" w:type="dxa"/>
            <w:left w:w="0" w:type="dxa"/>
            <w:bottom w:w="0" w:type="dxa"/>
            <w:right w:w="0" w:type="dxa"/>
          </w:tblCellMar>
        </w:tblPrEx>
        <w:trPr>
          <w:trHeight w:val="70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6</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新桥河水系连通及农村水系综合治理</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新塘河等水系连通及涵闸、建筑物整治、水系湖泊底泥清除及生态护岸</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60000</w:t>
            </w:r>
          </w:p>
        </w:tc>
      </w:tr>
      <w:tr>
        <w:tblPrEx>
          <w:tblCellMar>
            <w:top w:w="0" w:type="dxa"/>
            <w:left w:w="0" w:type="dxa"/>
            <w:bottom w:w="0" w:type="dxa"/>
            <w:right w:w="0" w:type="dxa"/>
          </w:tblCellMar>
        </w:tblPrEx>
        <w:trPr>
          <w:trHeight w:val="727"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7</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资阳区迎风溪治理工程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河堤加固</w:t>
            </w:r>
            <w:r>
              <w:rPr>
                <w:rStyle w:val="56"/>
                <w:rFonts w:eastAsia="仿宋"/>
              </w:rPr>
              <w:t>26 km</w:t>
            </w:r>
            <w:r>
              <w:rPr>
                <w:rStyle w:val="57"/>
                <w:rFonts w:hint="default" w:eastAsia="仿宋"/>
              </w:rPr>
              <w:t>、生态护坡护岸</w:t>
            </w:r>
            <w:r>
              <w:rPr>
                <w:rStyle w:val="56"/>
                <w:rFonts w:eastAsia="仿宋"/>
              </w:rPr>
              <w:t>44.6 km</w:t>
            </w:r>
            <w:r>
              <w:rPr>
                <w:rStyle w:val="57"/>
                <w:rFonts w:hint="default" w:eastAsia="仿宋"/>
              </w:rPr>
              <w:t>、河坝改造</w:t>
            </w:r>
            <w:r>
              <w:rPr>
                <w:rStyle w:val="56"/>
                <w:rFonts w:eastAsia="仿宋"/>
              </w:rPr>
              <w:t>7</w:t>
            </w:r>
            <w:r>
              <w:rPr>
                <w:rStyle w:val="57"/>
                <w:rFonts w:hint="default" w:eastAsia="仿宋"/>
              </w:rPr>
              <w:t>处、穿堤建筑物改造</w:t>
            </w:r>
            <w:r>
              <w:rPr>
                <w:rStyle w:val="56"/>
                <w:rFonts w:eastAsia="仿宋"/>
              </w:rPr>
              <w:t>48</w:t>
            </w:r>
            <w:r>
              <w:rPr>
                <w:rStyle w:val="57"/>
                <w:rFonts w:hint="default" w:eastAsia="仿宋"/>
              </w:rPr>
              <w:t>处、清淤疏浚</w:t>
            </w:r>
            <w:r>
              <w:rPr>
                <w:rStyle w:val="56"/>
                <w:rFonts w:eastAsia="仿宋"/>
              </w:rPr>
              <w:t>20.3 km</w:t>
            </w:r>
            <w:r>
              <w:rPr>
                <w:rStyle w:val="57"/>
                <w:rFonts w:hint="default" w:eastAsia="仿宋"/>
              </w:rPr>
              <w:t>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7500</w:t>
            </w:r>
          </w:p>
        </w:tc>
      </w:tr>
      <w:tr>
        <w:tblPrEx>
          <w:tblCellMar>
            <w:top w:w="0" w:type="dxa"/>
            <w:left w:w="0" w:type="dxa"/>
            <w:bottom w:w="0" w:type="dxa"/>
            <w:right w:w="0" w:type="dxa"/>
          </w:tblCellMar>
        </w:tblPrEx>
        <w:trPr>
          <w:trHeight w:val="957"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8</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资阳区枫树塘生态清洁小流域治理工程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封育保护</w:t>
            </w:r>
            <w:r>
              <w:rPr>
                <w:rStyle w:val="56"/>
                <w:rFonts w:eastAsia="仿宋"/>
              </w:rPr>
              <w:t>1739 hm</w:t>
            </w:r>
            <w:r>
              <w:rPr>
                <w:rStyle w:val="63"/>
                <w:rFonts w:eastAsia="仿宋"/>
              </w:rPr>
              <w:t>2</w:t>
            </w:r>
            <w:r>
              <w:rPr>
                <w:rStyle w:val="57"/>
                <w:rFonts w:hint="default" w:eastAsia="仿宋"/>
              </w:rPr>
              <w:t>，封育标志牌</w:t>
            </w:r>
            <w:r>
              <w:rPr>
                <w:rStyle w:val="56"/>
                <w:rFonts w:eastAsia="仿宋"/>
              </w:rPr>
              <w:t>40</w:t>
            </w:r>
            <w:r>
              <w:rPr>
                <w:rStyle w:val="57"/>
                <w:rFonts w:hint="default" w:eastAsia="仿宋"/>
              </w:rPr>
              <w:t>处，经果林</w:t>
            </w:r>
            <w:r>
              <w:rPr>
                <w:rStyle w:val="56"/>
                <w:rFonts w:eastAsia="仿宋"/>
              </w:rPr>
              <w:t>8</w:t>
            </w:r>
            <w:r>
              <w:rPr>
                <w:rStyle w:val="57"/>
                <w:rFonts w:hint="default" w:eastAsia="仿宋"/>
              </w:rPr>
              <w:t>处</w:t>
            </w:r>
            <w:r>
              <w:rPr>
                <w:rStyle w:val="56"/>
                <w:rFonts w:eastAsia="仿宋"/>
              </w:rPr>
              <w:t>1341.9 hm</w:t>
            </w:r>
            <w:r>
              <w:rPr>
                <w:rStyle w:val="63"/>
                <w:rFonts w:eastAsia="仿宋"/>
              </w:rPr>
              <w:t>2</w:t>
            </w:r>
            <w:r>
              <w:rPr>
                <w:rStyle w:val="57"/>
                <w:rFonts w:hint="default" w:eastAsia="仿宋"/>
              </w:rPr>
              <w:t>，生产便道</w:t>
            </w:r>
            <w:r>
              <w:rPr>
                <w:rStyle w:val="56"/>
                <w:rFonts w:eastAsia="仿宋"/>
              </w:rPr>
              <w:t>8</w:t>
            </w:r>
            <w:r>
              <w:rPr>
                <w:rStyle w:val="57"/>
                <w:rFonts w:hint="default" w:eastAsia="仿宋"/>
              </w:rPr>
              <w:t>处，截排水工程</w:t>
            </w:r>
            <w:r>
              <w:rPr>
                <w:rStyle w:val="56"/>
                <w:rFonts w:eastAsia="仿宋"/>
              </w:rPr>
              <w:t>8</w:t>
            </w:r>
            <w:r>
              <w:rPr>
                <w:rStyle w:val="57"/>
                <w:rFonts w:hint="default" w:eastAsia="仿宋"/>
              </w:rPr>
              <w:t>处，水保林</w:t>
            </w:r>
            <w:r>
              <w:rPr>
                <w:rStyle w:val="56"/>
                <w:rFonts w:eastAsia="仿宋"/>
              </w:rPr>
              <w:t>397.1 hm</w:t>
            </w:r>
            <w:r>
              <w:rPr>
                <w:rStyle w:val="63"/>
                <w:rFonts w:eastAsia="仿宋"/>
              </w:rPr>
              <w:t>2</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2400</w:t>
            </w:r>
          </w:p>
        </w:tc>
      </w:tr>
      <w:tr>
        <w:tblPrEx>
          <w:tblCellMar>
            <w:top w:w="0" w:type="dxa"/>
            <w:left w:w="0" w:type="dxa"/>
            <w:bottom w:w="0" w:type="dxa"/>
            <w:right w:w="0" w:type="dxa"/>
          </w:tblCellMar>
        </w:tblPrEx>
        <w:trPr>
          <w:trHeight w:val="66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9</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资阳区迎丰溪生态清洁小流域治理工程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河道生态修复</w:t>
            </w:r>
            <w:r>
              <w:rPr>
                <w:rStyle w:val="56"/>
                <w:rFonts w:eastAsia="仿宋"/>
              </w:rPr>
              <w:t>3 km</w:t>
            </w:r>
            <w:r>
              <w:rPr>
                <w:rStyle w:val="57"/>
                <w:rFonts w:hint="default" w:eastAsia="仿宋"/>
              </w:rPr>
              <w:t>，山塘整治</w:t>
            </w:r>
            <w:r>
              <w:rPr>
                <w:rStyle w:val="56"/>
                <w:rFonts w:eastAsia="仿宋"/>
              </w:rPr>
              <w:t>11</w:t>
            </w:r>
            <w:r>
              <w:rPr>
                <w:rStyle w:val="57"/>
                <w:rFonts w:hint="default" w:eastAsia="仿宋"/>
              </w:rPr>
              <w:t>处，生态沟渠</w:t>
            </w:r>
            <w:r>
              <w:rPr>
                <w:rStyle w:val="56"/>
                <w:rFonts w:eastAsia="仿宋"/>
              </w:rPr>
              <w:t>10</w:t>
            </w:r>
            <w:r>
              <w:rPr>
                <w:rStyle w:val="57"/>
                <w:rFonts w:hint="default" w:eastAsia="仿宋"/>
              </w:rPr>
              <w:t>处，截排水</w:t>
            </w:r>
            <w:r>
              <w:rPr>
                <w:rStyle w:val="56"/>
                <w:rFonts w:eastAsia="仿宋"/>
              </w:rPr>
              <w:t>10</w:t>
            </w:r>
            <w:r>
              <w:rPr>
                <w:rStyle w:val="57"/>
                <w:rFonts w:hint="default" w:eastAsia="仿宋"/>
              </w:rPr>
              <w:t>处，生产便道</w:t>
            </w:r>
            <w:r>
              <w:rPr>
                <w:rStyle w:val="56"/>
                <w:rFonts w:eastAsia="仿宋"/>
              </w:rPr>
              <w:t>9</w:t>
            </w:r>
            <w:r>
              <w:rPr>
                <w:rStyle w:val="57"/>
                <w:rFonts w:hint="default" w:eastAsia="仿宋"/>
              </w:rPr>
              <w:t>处</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1800</w:t>
            </w:r>
          </w:p>
        </w:tc>
      </w:tr>
      <w:tr>
        <w:tblPrEx>
          <w:tblCellMar>
            <w:top w:w="0" w:type="dxa"/>
            <w:left w:w="0" w:type="dxa"/>
            <w:bottom w:w="0" w:type="dxa"/>
            <w:right w:w="0" w:type="dxa"/>
          </w:tblCellMar>
        </w:tblPrEx>
        <w:trPr>
          <w:trHeight w:val="68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10</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资阳区茈湖口河（哑河）治理工程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河堤加固</w:t>
            </w:r>
            <w:r>
              <w:rPr>
                <w:rStyle w:val="56"/>
                <w:rFonts w:eastAsia="仿宋"/>
              </w:rPr>
              <w:t>26 km</w:t>
            </w:r>
            <w:r>
              <w:rPr>
                <w:rStyle w:val="57"/>
                <w:rFonts w:hint="default" w:eastAsia="仿宋"/>
              </w:rPr>
              <w:t>、生态护坡护岸</w:t>
            </w:r>
            <w:r>
              <w:rPr>
                <w:rStyle w:val="56"/>
                <w:rFonts w:eastAsia="仿宋"/>
              </w:rPr>
              <w:t>29.1 km</w:t>
            </w:r>
            <w:r>
              <w:rPr>
                <w:rStyle w:val="57"/>
                <w:rFonts w:hint="default" w:eastAsia="仿宋"/>
              </w:rPr>
              <w:t>、穿堤建筑物改造</w:t>
            </w:r>
            <w:r>
              <w:rPr>
                <w:rStyle w:val="56"/>
                <w:rFonts w:eastAsia="仿宋"/>
              </w:rPr>
              <w:t>35</w:t>
            </w:r>
            <w:r>
              <w:rPr>
                <w:rStyle w:val="57"/>
                <w:rFonts w:hint="default" w:eastAsia="仿宋"/>
              </w:rPr>
              <w:t>处、清淤疏浚</w:t>
            </w:r>
            <w:r>
              <w:rPr>
                <w:rStyle w:val="56"/>
                <w:rFonts w:eastAsia="仿宋"/>
              </w:rPr>
              <w:t>14.935 km</w:t>
            </w:r>
            <w:r>
              <w:rPr>
                <w:rStyle w:val="57"/>
                <w:rFonts w:hint="default" w:eastAsia="仿宋"/>
              </w:rPr>
              <w:t>等</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5000</w:t>
            </w:r>
          </w:p>
        </w:tc>
      </w:tr>
      <w:tr>
        <w:tblPrEx>
          <w:tblCellMar>
            <w:top w:w="0" w:type="dxa"/>
            <w:left w:w="0" w:type="dxa"/>
            <w:bottom w:w="0" w:type="dxa"/>
            <w:right w:w="0" w:type="dxa"/>
          </w:tblCellMar>
        </w:tblPrEx>
        <w:trPr>
          <w:trHeight w:val="245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仿宋"/>
                <w:color w:val="000000"/>
                <w:sz w:val="22"/>
                <w:szCs w:val="22"/>
              </w:rPr>
            </w:pPr>
            <w:r>
              <w:rPr>
                <w:rFonts w:hint="eastAsia" w:eastAsia="仿宋"/>
                <w:color w:val="000000"/>
                <w:kern w:val="0"/>
                <w:sz w:val="22"/>
                <w:szCs w:val="22"/>
              </w:rPr>
              <w:t>11</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资阳区乡镇集中式饮用水源地环境问题治理</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继续对资阳区</w:t>
            </w:r>
            <w:r>
              <w:rPr>
                <w:rStyle w:val="52"/>
                <w:rFonts w:eastAsia="仿宋"/>
              </w:rPr>
              <w:t>13</w:t>
            </w:r>
            <w:r>
              <w:rPr>
                <w:rStyle w:val="53"/>
                <w:rFonts w:hint="default" w:eastAsia="仿宋"/>
              </w:rPr>
              <w:t>个千吨万人和</w:t>
            </w:r>
            <w:r>
              <w:rPr>
                <w:rStyle w:val="52"/>
                <w:rFonts w:eastAsia="仿宋"/>
              </w:rPr>
              <w:t>8</w:t>
            </w:r>
            <w:r>
              <w:rPr>
                <w:rStyle w:val="53"/>
                <w:rFonts w:hint="default" w:eastAsia="仿宋"/>
              </w:rPr>
              <w:t>个千人以上乡镇集中式饮用水源保护地存在的环境问题进行调查和整改</w:t>
            </w:r>
            <w:r>
              <w:rPr>
                <w:rStyle w:val="52"/>
                <w:rFonts w:hint="eastAsia" w:eastAsia="仿宋"/>
              </w:rPr>
              <w:t>，</w:t>
            </w:r>
            <w:r>
              <w:rPr>
                <w:rStyle w:val="53"/>
                <w:rFonts w:hint="default" w:eastAsia="仿宋"/>
              </w:rPr>
              <w:t>对存在的保护区标志、排污口、使用农药、丢弃农药和农药包装物、清洗施药器械、农村环境、道路、桥梁设立警示标志等进行整治。对资阳区部分饮用水水源地氨氮、大肠菌群、铁、锰等超标问题进行整治，因地制宜采取合适水源地保护措施、水质监测、饮用水处理等，确保水质符合饮用标准要求</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2000</w:t>
            </w:r>
          </w:p>
        </w:tc>
      </w:tr>
      <w:tr>
        <w:tblPrEx>
          <w:tblCellMar>
            <w:top w:w="0" w:type="dxa"/>
            <w:left w:w="0" w:type="dxa"/>
            <w:bottom w:w="0" w:type="dxa"/>
            <w:right w:w="0" w:type="dxa"/>
          </w:tblCellMar>
        </w:tblPrEx>
        <w:trPr>
          <w:trHeight w:val="2640" w:hRule="atLeast"/>
          <w:jc w:val="center"/>
        </w:trPr>
        <w:tc>
          <w:tcPr>
            <w:tcW w:w="16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color w:val="000000"/>
                <w:kern w:val="0"/>
                <w:sz w:val="22"/>
                <w:szCs w:val="22"/>
              </w:rPr>
              <w:t>二、</w:t>
            </w:r>
            <w:r>
              <w:rPr>
                <w:rFonts w:eastAsia="仿宋"/>
                <w:sz w:val="22"/>
                <w:szCs w:val="22"/>
              </w:rPr>
              <w:t>大气环境治理类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hint="eastAsia" w:eastAsia="仿宋"/>
                <w:color w:val="000000"/>
                <w:kern w:val="0"/>
                <w:sz w:val="22"/>
                <w:szCs w:val="22"/>
              </w:rPr>
              <w:t>12</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企事业单位锅炉低氮改造项目</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十四五期间益阳鸿源稀土有限责任公司对</w:t>
            </w:r>
            <w:r>
              <w:rPr>
                <w:rStyle w:val="59"/>
                <w:rFonts w:eastAsia="仿宋"/>
              </w:rPr>
              <w:t>1</w:t>
            </w:r>
            <w:r>
              <w:rPr>
                <w:rStyle w:val="53"/>
                <w:rFonts w:hint="default" w:eastAsia="仿宋"/>
              </w:rPr>
              <w:t>台</w:t>
            </w:r>
            <w:r>
              <w:rPr>
                <w:rStyle w:val="59"/>
                <w:rFonts w:eastAsia="仿宋"/>
              </w:rPr>
              <w:t>6</w:t>
            </w:r>
            <w:r>
              <w:rPr>
                <w:rStyle w:val="59"/>
                <w:rFonts w:hint="eastAsia" w:eastAsia="仿宋"/>
              </w:rPr>
              <w:t>t</w:t>
            </w:r>
            <w:r>
              <w:rPr>
                <w:rStyle w:val="59"/>
                <w:rFonts w:eastAsia="仿宋"/>
              </w:rPr>
              <w:t>/h</w:t>
            </w:r>
            <w:r>
              <w:rPr>
                <w:rStyle w:val="53"/>
                <w:rFonts w:hint="default" w:eastAsia="仿宋"/>
              </w:rPr>
              <w:t>天然气锅炉低氮改造，</w:t>
            </w:r>
            <w:r>
              <w:rPr>
                <w:rStyle w:val="62"/>
                <w:rFonts w:hint="default" w:eastAsia="仿宋"/>
              </w:rPr>
              <w:t>对</w:t>
            </w:r>
            <w:r>
              <w:rPr>
                <w:rStyle w:val="61"/>
                <w:rFonts w:eastAsia="仿宋"/>
              </w:rPr>
              <w:t>3</w:t>
            </w:r>
            <w:r>
              <w:rPr>
                <w:rStyle w:val="62"/>
                <w:rFonts w:hint="default" w:eastAsia="仿宋"/>
              </w:rPr>
              <w:t>条隧道窑低氮改造。</w:t>
            </w:r>
            <w:r>
              <w:rPr>
                <w:rStyle w:val="53"/>
                <w:rFonts w:hint="default" w:eastAsia="仿宋"/>
              </w:rPr>
              <w:t>湖南皇爷食品有限公司对</w:t>
            </w:r>
            <w:r>
              <w:rPr>
                <w:rStyle w:val="59"/>
                <w:rFonts w:eastAsia="仿宋"/>
              </w:rPr>
              <w:t>2</w:t>
            </w:r>
            <w:r>
              <w:rPr>
                <w:rStyle w:val="53"/>
                <w:rFonts w:hint="default" w:eastAsia="仿宋"/>
              </w:rPr>
              <w:t>台</w:t>
            </w:r>
            <w:r>
              <w:rPr>
                <w:rStyle w:val="59"/>
                <w:rFonts w:eastAsia="仿宋"/>
              </w:rPr>
              <w:t>10</w:t>
            </w:r>
            <w:r>
              <w:rPr>
                <w:rStyle w:val="59"/>
                <w:rFonts w:hint="eastAsia" w:eastAsia="仿宋"/>
              </w:rPr>
              <w:t>t</w:t>
            </w:r>
            <w:r>
              <w:rPr>
                <w:rStyle w:val="59"/>
                <w:rFonts w:eastAsia="仿宋"/>
              </w:rPr>
              <w:t>/h</w:t>
            </w:r>
            <w:r>
              <w:rPr>
                <w:rStyle w:val="53"/>
                <w:rFonts w:hint="default" w:eastAsia="仿宋"/>
              </w:rPr>
              <w:t>天然气锅炉低氮改造。奥士康科技股份有限公司对</w:t>
            </w:r>
            <w:r>
              <w:rPr>
                <w:rStyle w:val="59"/>
                <w:rFonts w:eastAsia="仿宋"/>
              </w:rPr>
              <w:t>1</w:t>
            </w:r>
            <w:r>
              <w:rPr>
                <w:rStyle w:val="53"/>
                <w:rFonts w:hint="default" w:eastAsia="仿宋"/>
              </w:rPr>
              <w:t>台</w:t>
            </w:r>
            <w:r>
              <w:rPr>
                <w:rStyle w:val="59"/>
                <w:rFonts w:eastAsia="仿宋"/>
              </w:rPr>
              <w:t>6</w:t>
            </w:r>
            <w:r>
              <w:rPr>
                <w:rStyle w:val="59"/>
                <w:rFonts w:hint="eastAsia" w:eastAsia="仿宋"/>
              </w:rPr>
              <w:t>t</w:t>
            </w:r>
            <w:r>
              <w:rPr>
                <w:rStyle w:val="59"/>
                <w:rFonts w:eastAsia="仿宋"/>
              </w:rPr>
              <w:t>/h</w:t>
            </w:r>
            <w:r>
              <w:rPr>
                <w:rStyle w:val="53"/>
                <w:rFonts w:hint="default" w:eastAsia="仿宋"/>
              </w:rPr>
              <w:t>和</w:t>
            </w:r>
            <w:r>
              <w:rPr>
                <w:rStyle w:val="59"/>
                <w:rFonts w:eastAsia="仿宋"/>
              </w:rPr>
              <w:t>1</w:t>
            </w:r>
            <w:r>
              <w:rPr>
                <w:rStyle w:val="53"/>
                <w:rFonts w:hint="default" w:eastAsia="仿宋"/>
              </w:rPr>
              <w:t>台</w:t>
            </w:r>
            <w:r>
              <w:rPr>
                <w:rStyle w:val="59"/>
                <w:rFonts w:eastAsia="仿宋"/>
              </w:rPr>
              <w:t>3</w:t>
            </w:r>
            <w:r>
              <w:rPr>
                <w:rStyle w:val="59"/>
                <w:rFonts w:hint="eastAsia" w:eastAsia="仿宋"/>
              </w:rPr>
              <w:t>t</w:t>
            </w:r>
            <w:r>
              <w:rPr>
                <w:rStyle w:val="59"/>
                <w:rFonts w:eastAsia="仿宋"/>
              </w:rPr>
              <w:t>/h</w:t>
            </w:r>
            <w:r>
              <w:rPr>
                <w:rStyle w:val="53"/>
                <w:rFonts w:hint="default" w:eastAsia="仿宋"/>
              </w:rPr>
              <w:t>天然气锅炉低氮改造。湖南口味王集团有限责任公司对</w:t>
            </w:r>
            <w:r>
              <w:rPr>
                <w:rStyle w:val="59"/>
                <w:rFonts w:eastAsia="仿宋"/>
              </w:rPr>
              <w:t>1</w:t>
            </w:r>
            <w:r>
              <w:rPr>
                <w:rStyle w:val="53"/>
                <w:rFonts w:hint="default" w:eastAsia="仿宋"/>
              </w:rPr>
              <w:t>台</w:t>
            </w:r>
            <w:r>
              <w:rPr>
                <w:rStyle w:val="59"/>
                <w:rFonts w:eastAsia="仿宋"/>
              </w:rPr>
              <w:t>10</w:t>
            </w:r>
            <w:r>
              <w:rPr>
                <w:rStyle w:val="59"/>
                <w:rFonts w:hint="eastAsia" w:eastAsia="仿宋"/>
              </w:rPr>
              <w:t>t</w:t>
            </w:r>
            <w:r>
              <w:rPr>
                <w:rStyle w:val="59"/>
                <w:rFonts w:eastAsia="仿宋"/>
              </w:rPr>
              <w:t>/h</w:t>
            </w:r>
            <w:r>
              <w:rPr>
                <w:rStyle w:val="53"/>
                <w:rFonts w:hint="default" w:eastAsia="仿宋"/>
              </w:rPr>
              <w:t>天然气锅炉低氮改造和</w:t>
            </w:r>
            <w:r>
              <w:rPr>
                <w:rStyle w:val="59"/>
                <w:rFonts w:eastAsia="仿宋"/>
              </w:rPr>
              <w:t>1</w:t>
            </w:r>
            <w:r>
              <w:rPr>
                <w:rStyle w:val="53"/>
                <w:rFonts w:hint="default" w:eastAsia="仿宋"/>
              </w:rPr>
              <w:t>台</w:t>
            </w:r>
            <w:r>
              <w:rPr>
                <w:rStyle w:val="59"/>
                <w:rFonts w:eastAsia="仿宋"/>
              </w:rPr>
              <w:t>8</w:t>
            </w:r>
            <w:r>
              <w:rPr>
                <w:rStyle w:val="59"/>
                <w:rFonts w:hint="eastAsia" w:eastAsia="仿宋"/>
              </w:rPr>
              <w:t>t</w:t>
            </w:r>
            <w:r>
              <w:rPr>
                <w:rStyle w:val="59"/>
                <w:rFonts w:eastAsia="仿宋"/>
              </w:rPr>
              <w:t>/h</w:t>
            </w:r>
            <w:r>
              <w:rPr>
                <w:rStyle w:val="53"/>
                <w:rFonts w:hint="default" w:eastAsia="仿宋"/>
              </w:rPr>
              <w:t>锅炉低氮改造，对以上改造企业</w:t>
            </w:r>
            <w:r>
              <w:rPr>
                <w:rStyle w:val="59"/>
                <w:rFonts w:eastAsia="仿宋"/>
              </w:rPr>
              <w:t>NOx</w:t>
            </w:r>
            <w:r>
              <w:rPr>
                <w:rStyle w:val="53"/>
                <w:rFonts w:hint="default" w:eastAsia="仿宋"/>
              </w:rPr>
              <w:t>排放量消减</w:t>
            </w:r>
            <w:r>
              <w:rPr>
                <w:rStyle w:val="59"/>
                <w:rFonts w:eastAsia="仿宋"/>
              </w:rPr>
              <w:t>50%</w:t>
            </w:r>
            <w:r>
              <w:rPr>
                <w:rStyle w:val="53"/>
                <w:rFonts w:hint="default" w:eastAsia="仿宋"/>
              </w:rPr>
              <w:t>以上。并对大型餐饮行业、学校等锅炉进行低氮改造，减少氮氧化物的排放，提高空气质量</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3000</w:t>
            </w:r>
          </w:p>
        </w:tc>
      </w:tr>
      <w:tr>
        <w:tblPrEx>
          <w:tblCellMar>
            <w:top w:w="0" w:type="dxa"/>
            <w:left w:w="0" w:type="dxa"/>
            <w:bottom w:w="0" w:type="dxa"/>
            <w:right w:w="0" w:type="dxa"/>
          </w:tblCellMar>
        </w:tblPrEx>
        <w:trPr>
          <w:trHeight w:val="1950"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hint="eastAsia" w:eastAsia="仿宋"/>
                <w:color w:val="000000"/>
                <w:kern w:val="0"/>
                <w:sz w:val="22"/>
                <w:szCs w:val="22"/>
              </w:rPr>
              <w:t>13</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工业企业清洁化能源改造项目</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依托长安益阳发电有限公司余热综合利用工程，全力推进长春经济开发区集中供热能工程，切实削减长春经济开发区各企业因供热能锅炉产生的氮氧化物、烟尘等污染物的排放贡献值，有效削减市城区的污染排放总量。对工业炉窑或锅炉改造或者替代使用电、天然气等清洁能源或由周边热电厂供热</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2000</w:t>
            </w:r>
          </w:p>
        </w:tc>
      </w:tr>
      <w:tr>
        <w:tblPrEx>
          <w:tblCellMar>
            <w:top w:w="0" w:type="dxa"/>
            <w:left w:w="0" w:type="dxa"/>
            <w:bottom w:w="0" w:type="dxa"/>
            <w:right w:w="0" w:type="dxa"/>
          </w:tblCellMar>
        </w:tblPrEx>
        <w:trPr>
          <w:trHeight w:val="1346"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hint="eastAsia" w:eastAsia="仿宋"/>
                <w:color w:val="000000"/>
                <w:kern w:val="0"/>
                <w:sz w:val="22"/>
                <w:szCs w:val="22"/>
              </w:rPr>
              <w:t>14</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工业企业</w:t>
            </w:r>
            <w:r>
              <w:rPr>
                <w:rStyle w:val="52"/>
                <w:rFonts w:eastAsia="仿宋"/>
              </w:rPr>
              <w:t>VOCs</w:t>
            </w:r>
            <w:r>
              <w:rPr>
                <w:rStyle w:val="53"/>
                <w:rFonts w:hint="default" w:eastAsia="仿宋"/>
              </w:rPr>
              <w:t>治理项目</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企业编制</w:t>
            </w:r>
            <w:r>
              <w:rPr>
                <w:rStyle w:val="52"/>
                <w:rFonts w:eastAsia="仿宋"/>
              </w:rPr>
              <w:t>VOCs</w:t>
            </w:r>
            <w:r>
              <w:rPr>
                <w:rFonts w:eastAsia="仿宋"/>
                <w:color w:val="000000"/>
                <w:kern w:val="0"/>
                <w:sz w:val="22"/>
                <w:szCs w:val="22"/>
              </w:rPr>
              <w:t>综合治理一企一策方案，对奥士康、明正宏、维胜等多家线路板制造企业涉</w:t>
            </w:r>
            <w:r>
              <w:rPr>
                <w:rStyle w:val="52"/>
                <w:rFonts w:eastAsia="仿宋"/>
              </w:rPr>
              <w:t>VOCs</w:t>
            </w:r>
            <w:r>
              <w:rPr>
                <w:rStyle w:val="53"/>
                <w:rFonts w:hint="default" w:eastAsia="仿宋"/>
              </w:rPr>
              <w:t>排放的生产线按照方案进行治理，对森华木业、南洋包装等</w:t>
            </w:r>
            <w:r>
              <w:rPr>
                <w:rStyle w:val="52"/>
                <w:rFonts w:eastAsia="仿宋"/>
              </w:rPr>
              <w:t>VOCs</w:t>
            </w:r>
            <w:r>
              <w:rPr>
                <w:rStyle w:val="53"/>
                <w:rFonts w:hint="default" w:eastAsia="仿宋"/>
              </w:rPr>
              <w:t>排放重点企业按照方案进行治理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2000</w:t>
            </w:r>
          </w:p>
        </w:tc>
      </w:tr>
      <w:tr>
        <w:tblPrEx>
          <w:tblCellMar>
            <w:top w:w="0" w:type="dxa"/>
            <w:left w:w="0" w:type="dxa"/>
            <w:bottom w:w="0" w:type="dxa"/>
            <w:right w:w="0" w:type="dxa"/>
          </w:tblCellMar>
        </w:tblPrEx>
        <w:trPr>
          <w:trHeight w:val="274"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sz w:val="22"/>
                <w:szCs w:val="22"/>
              </w:rPr>
              <w:t>三、土壤管控与修复类</w:t>
            </w:r>
          </w:p>
        </w:tc>
        <w:tc>
          <w:tcPr>
            <w:tcW w:w="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15</w:t>
            </w:r>
          </w:p>
        </w:tc>
        <w:tc>
          <w:tcPr>
            <w:tcW w:w="2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资阳区污染土壤治理项目</w:t>
            </w:r>
          </w:p>
        </w:tc>
        <w:tc>
          <w:tcPr>
            <w:tcW w:w="80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摸清资阳区现存土壤污染情况，编制场地调查报告、治理方案，切实按照治理方案进行实施，保证污染土壤得到恢复。十四五期间将对鸿源稀土公司、宏远锑业公司</w:t>
            </w:r>
            <w:r>
              <w:rPr>
                <w:rStyle w:val="52"/>
                <w:rFonts w:eastAsia="仿宋"/>
              </w:rPr>
              <w:t>2</w:t>
            </w:r>
            <w:r>
              <w:rPr>
                <w:rStyle w:val="53"/>
                <w:rFonts w:hint="default" w:eastAsia="仿宋"/>
              </w:rPr>
              <w:t>处疑似高风险地块进行调查采样监测核实，如确认为高风险地块进行治理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30000</w:t>
            </w:r>
          </w:p>
        </w:tc>
      </w:tr>
      <w:tr>
        <w:tblPrEx>
          <w:tblCellMar>
            <w:top w:w="0" w:type="dxa"/>
            <w:left w:w="0" w:type="dxa"/>
            <w:bottom w:w="0" w:type="dxa"/>
            <w:right w:w="0" w:type="dxa"/>
          </w:tblCellMar>
        </w:tblPrEx>
        <w:trPr>
          <w:trHeight w:val="3135" w:hRule="atLeast"/>
          <w:jc w:val="center"/>
        </w:trPr>
        <w:tc>
          <w:tcPr>
            <w:tcW w:w="16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sz w:val="22"/>
                <w:szCs w:val="22"/>
              </w:rPr>
              <w:t>四、农业农村污染防治类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16</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农村黑臭水体整治</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十四五期间计划对全区</w:t>
            </w:r>
            <w:r>
              <w:rPr>
                <w:rStyle w:val="52"/>
                <w:rFonts w:eastAsia="仿宋"/>
              </w:rPr>
              <w:t>7</w:t>
            </w:r>
            <w:r>
              <w:rPr>
                <w:rStyle w:val="53"/>
                <w:rFonts w:hint="default" w:eastAsia="仿宋"/>
              </w:rPr>
              <w:t>条农村黑臭水体进行整治：其中省控重点（</w:t>
            </w:r>
            <w:r>
              <w:rPr>
                <w:rStyle w:val="52"/>
                <w:rFonts w:eastAsia="仿宋"/>
              </w:rPr>
              <w:t>3</w:t>
            </w:r>
            <w:r>
              <w:rPr>
                <w:rStyle w:val="53"/>
                <w:rFonts w:hint="default" w:eastAsia="仿宋"/>
              </w:rPr>
              <w:t>条）长春镇宫楼坪村黄家桥湖（长</w:t>
            </w:r>
            <w:r>
              <w:rPr>
                <w:rStyle w:val="52"/>
                <w:rFonts w:eastAsia="仿宋"/>
              </w:rPr>
              <w:t>2500</w:t>
            </w:r>
            <w:r>
              <w:rPr>
                <w:rStyle w:val="53"/>
                <w:rFonts w:hint="default" w:eastAsia="仿宋"/>
              </w:rPr>
              <w:t>米、宽</w:t>
            </w:r>
            <w:r>
              <w:rPr>
                <w:rStyle w:val="52"/>
                <w:rFonts w:eastAsia="仿宋"/>
              </w:rPr>
              <w:t>8</w:t>
            </w:r>
            <w:r>
              <w:rPr>
                <w:rStyle w:val="53"/>
                <w:rFonts w:hint="default" w:eastAsia="仿宋"/>
              </w:rPr>
              <w:t>米，面积约</w:t>
            </w:r>
            <w:r>
              <w:rPr>
                <w:rStyle w:val="52"/>
                <w:rFonts w:eastAsia="仿宋"/>
              </w:rPr>
              <w:t>20000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）和白鹿铺村黄土坡渠（长</w:t>
            </w:r>
            <w:r>
              <w:rPr>
                <w:rStyle w:val="52"/>
                <w:rFonts w:eastAsia="仿宋"/>
              </w:rPr>
              <w:t>3000</w:t>
            </w:r>
            <w:r>
              <w:rPr>
                <w:rStyle w:val="53"/>
                <w:rFonts w:hint="default" w:eastAsia="仿宋"/>
              </w:rPr>
              <w:t>米、宽</w:t>
            </w:r>
            <w:r>
              <w:rPr>
                <w:rStyle w:val="52"/>
                <w:rFonts w:eastAsia="仿宋"/>
              </w:rPr>
              <w:t>5</w:t>
            </w:r>
            <w:r>
              <w:rPr>
                <w:rStyle w:val="53"/>
                <w:rFonts w:hint="default" w:eastAsia="仿宋"/>
              </w:rPr>
              <w:t>米，面积约</w:t>
            </w:r>
            <w:r>
              <w:rPr>
                <w:rStyle w:val="52"/>
                <w:rFonts w:eastAsia="仿宋"/>
              </w:rPr>
              <w:t>15000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）、茈湖口镇桃林村桃林直渠（长</w:t>
            </w:r>
            <w:r>
              <w:rPr>
                <w:rStyle w:val="52"/>
                <w:rFonts w:eastAsia="仿宋"/>
              </w:rPr>
              <w:t>3000</w:t>
            </w:r>
            <w:r>
              <w:rPr>
                <w:rStyle w:val="53"/>
                <w:rFonts w:hint="default" w:eastAsia="仿宋"/>
              </w:rPr>
              <w:t>米、宽</w:t>
            </w:r>
            <w:r>
              <w:rPr>
                <w:rStyle w:val="52"/>
                <w:rFonts w:eastAsia="仿宋"/>
              </w:rPr>
              <w:t>5</w:t>
            </w:r>
            <w:r>
              <w:rPr>
                <w:rStyle w:val="53"/>
                <w:rFonts w:hint="default" w:eastAsia="仿宋"/>
              </w:rPr>
              <w:t>米，面积约</w:t>
            </w:r>
            <w:r>
              <w:rPr>
                <w:rStyle w:val="52"/>
                <w:rFonts w:eastAsia="仿宋"/>
              </w:rPr>
              <w:t>15000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）以及其他（</w:t>
            </w:r>
            <w:r>
              <w:rPr>
                <w:rStyle w:val="52"/>
                <w:rFonts w:eastAsia="仿宋"/>
              </w:rPr>
              <w:t>4</w:t>
            </w:r>
            <w:r>
              <w:rPr>
                <w:rStyle w:val="53"/>
                <w:rFonts w:hint="default" w:eastAsia="仿宋"/>
              </w:rPr>
              <w:t>条）新桥河镇李昌港村四支渠（长</w:t>
            </w:r>
            <w:r>
              <w:rPr>
                <w:rStyle w:val="52"/>
                <w:rFonts w:eastAsia="仿宋"/>
              </w:rPr>
              <w:t>1450</w:t>
            </w:r>
            <w:r>
              <w:rPr>
                <w:rStyle w:val="53"/>
                <w:rFonts w:hint="default" w:eastAsia="仿宋"/>
              </w:rPr>
              <w:t>米、宽</w:t>
            </w:r>
            <w:r>
              <w:rPr>
                <w:rStyle w:val="52"/>
                <w:rFonts w:eastAsia="仿宋"/>
              </w:rPr>
              <w:t>5</w:t>
            </w:r>
            <w:r>
              <w:rPr>
                <w:rStyle w:val="53"/>
                <w:rFonts w:hint="default" w:eastAsia="仿宋"/>
              </w:rPr>
              <w:t>米，面积约</w:t>
            </w:r>
            <w:r>
              <w:rPr>
                <w:rStyle w:val="52"/>
                <w:rFonts w:eastAsia="仿宋"/>
              </w:rPr>
              <w:t>7250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）、张家塞乡合兴村三八渠（长</w:t>
            </w:r>
            <w:r>
              <w:rPr>
                <w:rStyle w:val="52"/>
                <w:rFonts w:eastAsia="仿宋"/>
              </w:rPr>
              <w:t>1500</w:t>
            </w:r>
            <w:r>
              <w:rPr>
                <w:rStyle w:val="53"/>
                <w:rFonts w:hint="default" w:eastAsia="仿宋"/>
              </w:rPr>
              <w:t>米、宽</w:t>
            </w:r>
            <w:r>
              <w:rPr>
                <w:rStyle w:val="52"/>
                <w:rFonts w:eastAsia="仿宋"/>
              </w:rPr>
              <w:t>5</w:t>
            </w:r>
            <w:r>
              <w:rPr>
                <w:rStyle w:val="53"/>
                <w:rFonts w:hint="default" w:eastAsia="仿宋"/>
              </w:rPr>
              <w:t>米，面积约</w:t>
            </w:r>
            <w:r>
              <w:rPr>
                <w:rStyle w:val="52"/>
                <w:rFonts w:eastAsia="仿宋"/>
              </w:rPr>
              <w:t>7500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）、茈湖口镇新飞村新港直渠（长</w:t>
            </w:r>
            <w:r>
              <w:rPr>
                <w:rStyle w:val="52"/>
                <w:rFonts w:eastAsia="仿宋"/>
              </w:rPr>
              <w:t>1500</w:t>
            </w:r>
            <w:r>
              <w:rPr>
                <w:rStyle w:val="53"/>
                <w:rFonts w:hint="default" w:eastAsia="仿宋"/>
              </w:rPr>
              <w:t>米、宽</w:t>
            </w:r>
            <w:r>
              <w:rPr>
                <w:rStyle w:val="52"/>
                <w:rFonts w:eastAsia="仿宋"/>
              </w:rPr>
              <w:t>9</w:t>
            </w:r>
            <w:r>
              <w:rPr>
                <w:rStyle w:val="53"/>
                <w:rFonts w:hint="default" w:eastAsia="仿宋"/>
              </w:rPr>
              <w:t>米，面积约</w:t>
            </w:r>
            <w:r>
              <w:rPr>
                <w:rStyle w:val="52"/>
                <w:rFonts w:eastAsia="仿宋"/>
              </w:rPr>
              <w:t>9000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）和均安垸村哑河（长</w:t>
            </w:r>
            <w:r>
              <w:rPr>
                <w:rStyle w:val="52"/>
                <w:rFonts w:eastAsia="仿宋"/>
              </w:rPr>
              <w:t>500</w:t>
            </w:r>
            <w:r>
              <w:rPr>
                <w:rStyle w:val="53"/>
                <w:rFonts w:hint="default" w:eastAsia="仿宋"/>
              </w:rPr>
              <w:t>米、宽</w:t>
            </w:r>
            <w:r>
              <w:rPr>
                <w:rStyle w:val="52"/>
                <w:rFonts w:eastAsia="仿宋"/>
              </w:rPr>
              <w:t>35</w:t>
            </w:r>
            <w:r>
              <w:rPr>
                <w:rStyle w:val="53"/>
                <w:rFonts w:hint="default" w:eastAsia="仿宋"/>
              </w:rPr>
              <w:t>米，面积约</w:t>
            </w:r>
            <w:r>
              <w:rPr>
                <w:rStyle w:val="52"/>
                <w:rFonts w:eastAsia="仿宋"/>
              </w:rPr>
              <w:t>17500</w:t>
            </w:r>
            <w:r>
              <w:rPr>
                <w:rStyle w:val="52"/>
                <w:rFonts w:hint="eastAsia" w:eastAsia="仿宋"/>
              </w:rPr>
              <w:t xml:space="preserve"> </w:t>
            </w:r>
            <w:r>
              <w:rPr>
                <w:rStyle w:val="52"/>
                <w:rFonts w:eastAsia="仿宋"/>
              </w:rPr>
              <w:t>m</w:t>
            </w:r>
            <w:r>
              <w:rPr>
                <w:rStyle w:val="52"/>
                <w:rFonts w:eastAsia="仿宋"/>
                <w:vertAlign w:val="superscript"/>
              </w:rPr>
              <w:t>2</w:t>
            </w:r>
            <w:r>
              <w:rPr>
                <w:rStyle w:val="53"/>
                <w:rFonts w:hint="default" w:eastAsia="仿宋"/>
              </w:rPr>
              <w:t>）</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50000</w:t>
            </w:r>
          </w:p>
        </w:tc>
      </w:tr>
      <w:tr>
        <w:tblPrEx>
          <w:tblCellMar>
            <w:top w:w="0" w:type="dxa"/>
            <w:left w:w="0" w:type="dxa"/>
            <w:bottom w:w="0" w:type="dxa"/>
            <w:right w:w="0" w:type="dxa"/>
          </w:tblCellMar>
        </w:tblPrEx>
        <w:trPr>
          <w:trHeight w:val="2048" w:hRule="atLeast"/>
          <w:jc w:val="center"/>
        </w:trPr>
        <w:tc>
          <w:tcPr>
            <w:tcW w:w="16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17</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资阳区农村生活污水治理规划</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根据《资阳区农村生活污水治理专项规划（</w:t>
            </w:r>
            <w:r>
              <w:rPr>
                <w:rStyle w:val="52"/>
                <w:rFonts w:eastAsia="仿宋"/>
              </w:rPr>
              <w:t>2020-2030</w:t>
            </w:r>
            <w:r>
              <w:rPr>
                <w:rStyle w:val="53"/>
                <w:rFonts w:hint="default" w:eastAsia="仿宋"/>
              </w:rPr>
              <w:t>）》，建设户内自行收集与资源化利用设施、分散式达标排放处理设施、集中治理达标排放处理设施等，到</w:t>
            </w:r>
            <w:r>
              <w:rPr>
                <w:rStyle w:val="52"/>
                <w:rFonts w:eastAsia="仿宋"/>
              </w:rPr>
              <w:t>2025</w:t>
            </w:r>
            <w:r>
              <w:rPr>
                <w:rStyle w:val="53"/>
                <w:rFonts w:hint="default" w:eastAsia="仿宋"/>
              </w:rPr>
              <w:t>年，全区</w:t>
            </w:r>
            <w:r>
              <w:rPr>
                <w:rStyle w:val="52"/>
                <w:rFonts w:eastAsia="仿宋"/>
              </w:rPr>
              <w:t>88</w:t>
            </w:r>
            <w:r>
              <w:rPr>
                <w:rStyle w:val="53"/>
                <w:rFonts w:hint="default" w:eastAsia="仿宋"/>
              </w:rPr>
              <w:t>个行政村全部建有生活污水处理设施，覆盖率达到</w:t>
            </w:r>
            <w:r>
              <w:rPr>
                <w:rStyle w:val="52"/>
                <w:rFonts w:eastAsia="仿宋"/>
              </w:rPr>
              <w:t>100%</w:t>
            </w:r>
            <w:r>
              <w:rPr>
                <w:rStyle w:val="53"/>
                <w:rFonts w:hint="default" w:eastAsia="仿宋"/>
              </w:rPr>
              <w:t>；生活污水处理设施覆盖的农户数不低于</w:t>
            </w:r>
            <w:r>
              <w:rPr>
                <w:rStyle w:val="52"/>
                <w:rFonts w:eastAsia="仿宋"/>
              </w:rPr>
              <w:t>5.72</w:t>
            </w:r>
            <w:r>
              <w:rPr>
                <w:rStyle w:val="53"/>
                <w:rFonts w:hint="default" w:eastAsia="仿宋"/>
              </w:rPr>
              <w:t>万户，覆盖率不低于</w:t>
            </w:r>
            <w:r>
              <w:rPr>
                <w:rStyle w:val="52"/>
                <w:rFonts w:eastAsia="仿宋"/>
              </w:rPr>
              <w:t>70%</w:t>
            </w:r>
            <w:r>
              <w:rPr>
                <w:rStyle w:val="53"/>
                <w:rFonts w:hint="default" w:eastAsia="仿宋"/>
              </w:rPr>
              <w:t>；污水处理设施排放达标率不低于</w:t>
            </w:r>
            <w:r>
              <w:rPr>
                <w:rStyle w:val="52"/>
                <w:rFonts w:eastAsia="仿宋"/>
              </w:rPr>
              <w:t>80%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11100</w:t>
            </w:r>
          </w:p>
        </w:tc>
      </w:tr>
      <w:tr>
        <w:tblPrEx>
          <w:tblCellMar>
            <w:top w:w="0" w:type="dxa"/>
            <w:left w:w="0" w:type="dxa"/>
            <w:bottom w:w="0" w:type="dxa"/>
            <w:right w:w="0" w:type="dxa"/>
          </w:tblCellMar>
        </w:tblPrEx>
        <w:trPr>
          <w:trHeight w:val="807"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color w:val="000000"/>
                <w:kern w:val="0"/>
                <w:sz w:val="22"/>
                <w:szCs w:val="22"/>
              </w:rPr>
              <w:t>五、</w:t>
            </w:r>
            <w:r>
              <w:rPr>
                <w:rFonts w:eastAsia="仿宋"/>
                <w:sz w:val="22"/>
                <w:szCs w:val="22"/>
              </w:rPr>
              <w:t>生态保护</w:t>
            </w:r>
            <w:r>
              <w:rPr>
                <w:rFonts w:hint="eastAsia" w:eastAsia="仿宋"/>
                <w:sz w:val="22"/>
                <w:szCs w:val="22"/>
              </w:rPr>
              <w:t>与修复</w:t>
            </w:r>
            <w:r>
              <w:rPr>
                <w:rFonts w:eastAsia="仿宋"/>
                <w:sz w:val="22"/>
                <w:szCs w:val="22"/>
              </w:rPr>
              <w:t>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eastAsia="仿宋"/>
                <w:color w:val="000000"/>
                <w:kern w:val="0"/>
                <w:sz w:val="22"/>
                <w:szCs w:val="22"/>
              </w:rPr>
              <w:t>1</w:t>
            </w:r>
            <w:r>
              <w:rPr>
                <w:rFonts w:hint="eastAsia" w:eastAsia="仿宋"/>
                <w:color w:val="000000"/>
                <w:kern w:val="0"/>
                <w:sz w:val="22"/>
                <w:szCs w:val="22"/>
              </w:rPr>
              <w:t>8</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南洞庭湖流域内湖生物多样性恢复</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sz w:val="22"/>
                <w:szCs w:val="22"/>
              </w:rPr>
              <w:t>通过清淤、栽种水草等措施改善内湖水质，并逐步恢复南洞庭湖流域生物多样性</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10000</w:t>
            </w:r>
          </w:p>
        </w:tc>
      </w:tr>
      <w:tr>
        <w:tblPrEx>
          <w:tblCellMar>
            <w:top w:w="0" w:type="dxa"/>
            <w:left w:w="0" w:type="dxa"/>
            <w:bottom w:w="0" w:type="dxa"/>
            <w:right w:w="0" w:type="dxa"/>
          </w:tblCellMar>
        </w:tblPrEx>
        <w:trPr>
          <w:trHeight w:val="807"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六、风险防范类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19</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资阳区新桥河镇原锑品冶炼园土壤修复项目</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2023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2025</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对新桥河镇原锑品冶炼园地块实施建设用地污染地块土壤修复，将地块内受污染的土壤采取相关措施进行修复，降低环境风险，改善资江及区域地下水锑污染程度</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sz w:val="22"/>
                <w:szCs w:val="22"/>
              </w:rPr>
              <w:t>53240</w:t>
            </w:r>
          </w:p>
        </w:tc>
      </w:tr>
      <w:tr>
        <w:tblPrEx>
          <w:tblCellMar>
            <w:top w:w="0" w:type="dxa"/>
            <w:left w:w="0" w:type="dxa"/>
            <w:bottom w:w="0" w:type="dxa"/>
            <w:right w:w="0" w:type="dxa"/>
          </w:tblCellMar>
        </w:tblPrEx>
        <w:trPr>
          <w:trHeight w:val="807"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七、</w:t>
            </w:r>
            <w:r>
              <w:rPr>
                <w:rFonts w:eastAsia="仿宋"/>
                <w:sz w:val="22"/>
                <w:szCs w:val="22"/>
              </w:rPr>
              <w:t>生态环境治理能力提升类</w:t>
            </w:r>
          </w:p>
        </w:tc>
        <w:tc>
          <w:tcPr>
            <w:tcW w:w="58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kern w:val="0"/>
                <w:sz w:val="22"/>
                <w:szCs w:val="22"/>
              </w:rPr>
            </w:pPr>
            <w:r>
              <w:rPr>
                <w:rFonts w:hint="eastAsia" w:eastAsia="仿宋"/>
                <w:color w:val="000000"/>
                <w:kern w:val="0"/>
                <w:sz w:val="22"/>
                <w:szCs w:val="22"/>
              </w:rPr>
              <w:t>20</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大气环境质量监测能力建设</w:t>
            </w:r>
          </w:p>
          <w:p>
            <w:pPr>
              <w:widowControl/>
              <w:snapToGrid w:val="0"/>
              <w:jc w:val="center"/>
              <w:textAlignment w:val="center"/>
              <w:rPr>
                <w:rFonts w:eastAsia="仿宋"/>
                <w:color w:val="000000"/>
                <w:kern w:val="0"/>
                <w:sz w:val="22"/>
                <w:szCs w:val="22"/>
              </w:rPr>
            </w:pPr>
            <w:r>
              <w:rPr>
                <w:rFonts w:eastAsia="仿宋"/>
                <w:color w:val="0D0D0D"/>
                <w:kern w:val="0"/>
                <w:sz w:val="22"/>
                <w:szCs w:val="22"/>
              </w:rPr>
              <w:t>城市酸雨监测能力提升建设</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D0D0D"/>
                <w:kern w:val="0"/>
                <w:sz w:val="22"/>
                <w:szCs w:val="22"/>
              </w:rPr>
              <w:t>资阳区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D0D0D"/>
                <w:kern w:val="0"/>
                <w:sz w:val="22"/>
                <w:szCs w:val="22"/>
              </w:rPr>
              <w:t>2021</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2022</w:t>
            </w:r>
          </w:p>
        </w:tc>
        <w:tc>
          <w:tcPr>
            <w:tcW w:w="5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D0D0D"/>
                <w:kern w:val="0"/>
                <w:sz w:val="22"/>
                <w:szCs w:val="22"/>
              </w:rPr>
              <w:t>中心城区新增酸雨监测能力，增设一点位（长春经开区办公楼楼顶）、购置采样分析仪</w:t>
            </w:r>
            <w:r>
              <w:rPr>
                <w:rStyle w:val="65"/>
                <w:rFonts w:eastAsia="仿宋"/>
                <w:sz w:val="24"/>
                <w:szCs w:val="24"/>
              </w:rPr>
              <w:t>1</w:t>
            </w:r>
            <w:r>
              <w:rPr>
                <w:rStyle w:val="64"/>
                <w:rFonts w:hint="default" w:ascii="Times New Roman" w:hAnsi="Times New Roman" w:eastAsia="仿宋" w:cs="Times New Roman"/>
              </w:rPr>
              <w:t>套，于</w:t>
            </w:r>
            <w:r>
              <w:rPr>
                <w:rStyle w:val="65"/>
                <w:rFonts w:eastAsia="仿宋"/>
                <w:sz w:val="24"/>
                <w:szCs w:val="24"/>
              </w:rPr>
              <w:t>2021</w:t>
            </w:r>
            <w:r>
              <w:rPr>
                <w:rStyle w:val="64"/>
                <w:rFonts w:hint="default" w:ascii="Times New Roman" w:hAnsi="Times New Roman" w:eastAsia="仿宋" w:cs="Times New Roman"/>
              </w:rPr>
              <w:t>年开展酸雨监测</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jc w:val="center"/>
              <w:textAlignment w:val="center"/>
              <w:rPr>
                <w:rFonts w:eastAsia="仿宋"/>
                <w:color w:val="000000"/>
                <w:sz w:val="22"/>
                <w:szCs w:val="22"/>
              </w:rPr>
            </w:pPr>
            <w:r>
              <w:rPr>
                <w:rFonts w:eastAsia="仿宋"/>
                <w:color w:val="000000"/>
                <w:kern w:val="0"/>
                <w:sz w:val="22"/>
                <w:szCs w:val="22"/>
              </w:rPr>
              <w:t>12</w:t>
            </w:r>
          </w:p>
        </w:tc>
      </w:tr>
    </w:tbl>
    <w:p>
      <w:pPr>
        <w:pStyle w:val="2"/>
        <w:spacing w:line="590" w:lineRule="exact"/>
        <w:rPr>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16BDE0-511C-40A5-87C8-C96B2FCA19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02477C4-283C-4BD8-BDFC-25BF3AEBAEAB}"/>
  </w:font>
  <w:font w:name="仿宋_GB2312">
    <w:panose1 w:val="02010609030101010101"/>
    <w:charset w:val="86"/>
    <w:family w:val="modern"/>
    <w:pitch w:val="default"/>
    <w:sig w:usb0="00000001" w:usb1="080E0000" w:usb2="00000000" w:usb3="00000000" w:csb0="00040000" w:csb1="00000000"/>
    <w:embedRegular r:id="rId3" w:fontKey="{7F2BE7C9-4EB5-4BDD-B985-F8728D7434FF}"/>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90F9B96D-0E65-4EFC-9530-3DBA23FD3803}"/>
  </w:font>
  <w:font w:name="方正小标宋_GBK">
    <w:panose1 w:val="02000000000000000000"/>
    <w:charset w:val="86"/>
    <w:family w:val="auto"/>
    <w:pitch w:val="default"/>
    <w:sig w:usb0="A00002BF" w:usb1="38CF7CFA" w:usb2="00082016" w:usb3="00000000" w:csb0="00040001" w:csb1="00000000"/>
    <w:embedRegular r:id="rId5" w:fontKey="{B5EE7E1D-83AE-4F32-82C5-CA52E1630FC7}"/>
  </w:font>
  <w:font w:name="楷体">
    <w:panose1 w:val="02010609060101010101"/>
    <w:charset w:val="86"/>
    <w:family w:val="modern"/>
    <w:pitch w:val="default"/>
    <w:sig w:usb0="800002BF" w:usb1="38CF7CFA" w:usb2="00000016" w:usb3="00000000" w:csb0="00040001" w:csb1="00000000"/>
    <w:embedRegular r:id="rId6" w:fontKey="{0B0D3DCE-3852-4670-8B1A-F7EBA97FCCA2}"/>
  </w:font>
  <w:font w:name="Segoe UI Symbol">
    <w:panose1 w:val="020B0502040204020203"/>
    <w:charset w:val="00"/>
    <w:family w:val="swiss"/>
    <w:pitch w:val="default"/>
    <w:sig w:usb0="800001E3" w:usb1="1200FFEF" w:usb2="00040000" w:usb3="04000000" w:csb0="00000001" w:csb1="40000000"/>
    <w:embedRegular r:id="rId7" w:fontKey="{786853E8-C225-423E-A70F-FC59FAE4F6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1"/>
      <w:tabs>
        <w:tab w:val="clear" w:pos="4153"/>
        <w:tab w:val="clear" w:pos="8306"/>
      </w:tabs>
      <w:ind w:left="350" w:right="360" w:firstLine="360"/>
    </w:pPr>
    <w:r>
      <w:rPr>
        <w:rStyle w:val="22"/>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left="350"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left="350"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p>
    <w:pPr>
      <w:pStyle w:val="11"/>
      <w:tabs>
        <w:tab w:val="clear" w:pos="4153"/>
        <w:tab w:val="clear" w:pos="8306"/>
      </w:tabs>
      <w:ind w:left="350" w:right="360"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left="350"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00D50DD0"/>
    <w:rsid w:val="00005AE4"/>
    <w:rsid w:val="00015C44"/>
    <w:rsid w:val="00020A28"/>
    <w:rsid w:val="00041413"/>
    <w:rsid w:val="00061D70"/>
    <w:rsid w:val="0007581B"/>
    <w:rsid w:val="000842BF"/>
    <w:rsid w:val="00100CDC"/>
    <w:rsid w:val="00116908"/>
    <w:rsid w:val="00151BB0"/>
    <w:rsid w:val="00190ABE"/>
    <w:rsid w:val="001B29E3"/>
    <w:rsid w:val="001D0BF7"/>
    <w:rsid w:val="001F52EE"/>
    <w:rsid w:val="00204388"/>
    <w:rsid w:val="00206C21"/>
    <w:rsid w:val="00212E1A"/>
    <w:rsid w:val="00244575"/>
    <w:rsid w:val="002528A2"/>
    <w:rsid w:val="0025626E"/>
    <w:rsid w:val="002643F1"/>
    <w:rsid w:val="00265E82"/>
    <w:rsid w:val="00271236"/>
    <w:rsid w:val="002810BF"/>
    <w:rsid w:val="00287634"/>
    <w:rsid w:val="002C2C62"/>
    <w:rsid w:val="002C727F"/>
    <w:rsid w:val="002E2A3B"/>
    <w:rsid w:val="002E5B16"/>
    <w:rsid w:val="002F4F25"/>
    <w:rsid w:val="002F5972"/>
    <w:rsid w:val="003277CC"/>
    <w:rsid w:val="00334389"/>
    <w:rsid w:val="00345DDD"/>
    <w:rsid w:val="003B759F"/>
    <w:rsid w:val="003E1699"/>
    <w:rsid w:val="003E5618"/>
    <w:rsid w:val="00422893"/>
    <w:rsid w:val="0042714E"/>
    <w:rsid w:val="00431319"/>
    <w:rsid w:val="004C26F2"/>
    <w:rsid w:val="004D77FB"/>
    <w:rsid w:val="004E000A"/>
    <w:rsid w:val="004E6609"/>
    <w:rsid w:val="004F7E4F"/>
    <w:rsid w:val="00505983"/>
    <w:rsid w:val="00523AE9"/>
    <w:rsid w:val="005569B5"/>
    <w:rsid w:val="00586F59"/>
    <w:rsid w:val="005D14C0"/>
    <w:rsid w:val="00604B32"/>
    <w:rsid w:val="00604E08"/>
    <w:rsid w:val="00627A09"/>
    <w:rsid w:val="006324AA"/>
    <w:rsid w:val="00640346"/>
    <w:rsid w:val="006411E7"/>
    <w:rsid w:val="00656F94"/>
    <w:rsid w:val="0067207C"/>
    <w:rsid w:val="00681A6C"/>
    <w:rsid w:val="006B0930"/>
    <w:rsid w:val="006B0967"/>
    <w:rsid w:val="00704300"/>
    <w:rsid w:val="007162DC"/>
    <w:rsid w:val="007305E2"/>
    <w:rsid w:val="00746C71"/>
    <w:rsid w:val="007541E8"/>
    <w:rsid w:val="007904E3"/>
    <w:rsid w:val="00792EF3"/>
    <w:rsid w:val="007F252A"/>
    <w:rsid w:val="00802E3F"/>
    <w:rsid w:val="0083672B"/>
    <w:rsid w:val="00877E5C"/>
    <w:rsid w:val="0088427F"/>
    <w:rsid w:val="008860BC"/>
    <w:rsid w:val="008E498F"/>
    <w:rsid w:val="008F582D"/>
    <w:rsid w:val="00901034"/>
    <w:rsid w:val="00935A21"/>
    <w:rsid w:val="009774FC"/>
    <w:rsid w:val="00982F26"/>
    <w:rsid w:val="009A4207"/>
    <w:rsid w:val="009A76D1"/>
    <w:rsid w:val="009B5780"/>
    <w:rsid w:val="00A12810"/>
    <w:rsid w:val="00A34489"/>
    <w:rsid w:val="00A54803"/>
    <w:rsid w:val="00A76AB5"/>
    <w:rsid w:val="00AC3DAA"/>
    <w:rsid w:val="00AC5638"/>
    <w:rsid w:val="00B010BE"/>
    <w:rsid w:val="00B045CE"/>
    <w:rsid w:val="00B12B50"/>
    <w:rsid w:val="00B20382"/>
    <w:rsid w:val="00B56B4A"/>
    <w:rsid w:val="00B6775C"/>
    <w:rsid w:val="00B73916"/>
    <w:rsid w:val="00BD2E3E"/>
    <w:rsid w:val="00BD5698"/>
    <w:rsid w:val="00BE46C9"/>
    <w:rsid w:val="00BF74D4"/>
    <w:rsid w:val="00C11FD6"/>
    <w:rsid w:val="00C230BC"/>
    <w:rsid w:val="00C53133"/>
    <w:rsid w:val="00C9244B"/>
    <w:rsid w:val="00CD5645"/>
    <w:rsid w:val="00D12167"/>
    <w:rsid w:val="00D2035E"/>
    <w:rsid w:val="00D22A84"/>
    <w:rsid w:val="00D27267"/>
    <w:rsid w:val="00D40BEA"/>
    <w:rsid w:val="00D50DD0"/>
    <w:rsid w:val="00D50F24"/>
    <w:rsid w:val="00D87323"/>
    <w:rsid w:val="00D912F4"/>
    <w:rsid w:val="00D9426A"/>
    <w:rsid w:val="00DC4E53"/>
    <w:rsid w:val="00DF4900"/>
    <w:rsid w:val="00DF7A63"/>
    <w:rsid w:val="00E435C2"/>
    <w:rsid w:val="00E6738B"/>
    <w:rsid w:val="00E81200"/>
    <w:rsid w:val="00E82717"/>
    <w:rsid w:val="00EB7C31"/>
    <w:rsid w:val="00ED5B09"/>
    <w:rsid w:val="00F05C71"/>
    <w:rsid w:val="00F1701F"/>
    <w:rsid w:val="00F21EEE"/>
    <w:rsid w:val="00F352C0"/>
    <w:rsid w:val="00F66DA0"/>
    <w:rsid w:val="00FA4169"/>
    <w:rsid w:val="00FB58F0"/>
    <w:rsid w:val="00FC7A07"/>
    <w:rsid w:val="00FD2914"/>
    <w:rsid w:val="013E3056"/>
    <w:rsid w:val="014D34BC"/>
    <w:rsid w:val="018B1E3F"/>
    <w:rsid w:val="019247AE"/>
    <w:rsid w:val="01CF643C"/>
    <w:rsid w:val="02381AC8"/>
    <w:rsid w:val="023F51D7"/>
    <w:rsid w:val="027C7E35"/>
    <w:rsid w:val="02C51A31"/>
    <w:rsid w:val="02D21C46"/>
    <w:rsid w:val="02F81278"/>
    <w:rsid w:val="034C7E77"/>
    <w:rsid w:val="036F4D0C"/>
    <w:rsid w:val="037017A9"/>
    <w:rsid w:val="03804081"/>
    <w:rsid w:val="03815B57"/>
    <w:rsid w:val="03A250F8"/>
    <w:rsid w:val="03BA5C36"/>
    <w:rsid w:val="040D07A5"/>
    <w:rsid w:val="041F70D3"/>
    <w:rsid w:val="042748EB"/>
    <w:rsid w:val="042B0BEB"/>
    <w:rsid w:val="045F595D"/>
    <w:rsid w:val="04AA069C"/>
    <w:rsid w:val="04BD7109"/>
    <w:rsid w:val="04C60B3D"/>
    <w:rsid w:val="04E81E30"/>
    <w:rsid w:val="04ED79D1"/>
    <w:rsid w:val="04F35AD2"/>
    <w:rsid w:val="04FD0767"/>
    <w:rsid w:val="053B64B4"/>
    <w:rsid w:val="05B44F32"/>
    <w:rsid w:val="05DB7C8A"/>
    <w:rsid w:val="05DF595D"/>
    <w:rsid w:val="061A5F2C"/>
    <w:rsid w:val="06445189"/>
    <w:rsid w:val="06945F0F"/>
    <w:rsid w:val="077C5DC8"/>
    <w:rsid w:val="07A51F89"/>
    <w:rsid w:val="07C61890"/>
    <w:rsid w:val="07DA1F22"/>
    <w:rsid w:val="08193C06"/>
    <w:rsid w:val="083C7F06"/>
    <w:rsid w:val="087063A8"/>
    <w:rsid w:val="08B5294C"/>
    <w:rsid w:val="0927408B"/>
    <w:rsid w:val="093F4DE3"/>
    <w:rsid w:val="09A104CB"/>
    <w:rsid w:val="09B340EC"/>
    <w:rsid w:val="09C90184"/>
    <w:rsid w:val="09D139C0"/>
    <w:rsid w:val="09F43549"/>
    <w:rsid w:val="0A0C758C"/>
    <w:rsid w:val="0A590272"/>
    <w:rsid w:val="0A6004A8"/>
    <w:rsid w:val="0A9A73A9"/>
    <w:rsid w:val="0AA166E3"/>
    <w:rsid w:val="0AC7666A"/>
    <w:rsid w:val="0AE953EA"/>
    <w:rsid w:val="0AED3B8A"/>
    <w:rsid w:val="0AFE68BD"/>
    <w:rsid w:val="0B521869"/>
    <w:rsid w:val="0B595DFA"/>
    <w:rsid w:val="0B7265A1"/>
    <w:rsid w:val="0C0935D3"/>
    <w:rsid w:val="0C143910"/>
    <w:rsid w:val="0C5074EA"/>
    <w:rsid w:val="0C9E61A5"/>
    <w:rsid w:val="0CB51F3B"/>
    <w:rsid w:val="0CB72C77"/>
    <w:rsid w:val="0CBC6AD5"/>
    <w:rsid w:val="0CCA6B43"/>
    <w:rsid w:val="0CCE6D4F"/>
    <w:rsid w:val="0D5C5209"/>
    <w:rsid w:val="0D770C5B"/>
    <w:rsid w:val="0DA46FDC"/>
    <w:rsid w:val="0DAE7F84"/>
    <w:rsid w:val="0DAF32D8"/>
    <w:rsid w:val="0DBC559B"/>
    <w:rsid w:val="0DC73B90"/>
    <w:rsid w:val="0DC73DB6"/>
    <w:rsid w:val="0E547A6B"/>
    <w:rsid w:val="0EC9768D"/>
    <w:rsid w:val="0EDF0262"/>
    <w:rsid w:val="0F1F4CA6"/>
    <w:rsid w:val="0F245B72"/>
    <w:rsid w:val="0F315C81"/>
    <w:rsid w:val="0F8C10F3"/>
    <w:rsid w:val="0FC41038"/>
    <w:rsid w:val="0FD63DE2"/>
    <w:rsid w:val="0FE03F07"/>
    <w:rsid w:val="0FF81ACB"/>
    <w:rsid w:val="103D445F"/>
    <w:rsid w:val="104159B3"/>
    <w:rsid w:val="104E021E"/>
    <w:rsid w:val="105E4919"/>
    <w:rsid w:val="10910897"/>
    <w:rsid w:val="109C408D"/>
    <w:rsid w:val="10B771C2"/>
    <w:rsid w:val="10BE34EA"/>
    <w:rsid w:val="10D07F03"/>
    <w:rsid w:val="11027FA6"/>
    <w:rsid w:val="11495835"/>
    <w:rsid w:val="11564B30"/>
    <w:rsid w:val="1157421F"/>
    <w:rsid w:val="11604B29"/>
    <w:rsid w:val="116418AE"/>
    <w:rsid w:val="11965BC6"/>
    <w:rsid w:val="11BD7833"/>
    <w:rsid w:val="11D7763F"/>
    <w:rsid w:val="11E61587"/>
    <w:rsid w:val="11FA04C4"/>
    <w:rsid w:val="12271B1E"/>
    <w:rsid w:val="124035AB"/>
    <w:rsid w:val="12425DC0"/>
    <w:rsid w:val="127C4A2E"/>
    <w:rsid w:val="129B7650"/>
    <w:rsid w:val="12E706D1"/>
    <w:rsid w:val="134B4A3B"/>
    <w:rsid w:val="134B65D8"/>
    <w:rsid w:val="139322D8"/>
    <w:rsid w:val="13D55B96"/>
    <w:rsid w:val="1406781E"/>
    <w:rsid w:val="14155C85"/>
    <w:rsid w:val="141A14A4"/>
    <w:rsid w:val="14386EDF"/>
    <w:rsid w:val="14601688"/>
    <w:rsid w:val="147872CC"/>
    <w:rsid w:val="14FE7324"/>
    <w:rsid w:val="152E2294"/>
    <w:rsid w:val="153B45E5"/>
    <w:rsid w:val="155D7F60"/>
    <w:rsid w:val="15604E80"/>
    <w:rsid w:val="15871A2A"/>
    <w:rsid w:val="15937EE1"/>
    <w:rsid w:val="15CC7B64"/>
    <w:rsid w:val="163E429A"/>
    <w:rsid w:val="16E0056D"/>
    <w:rsid w:val="16FF6F80"/>
    <w:rsid w:val="17257695"/>
    <w:rsid w:val="17267C53"/>
    <w:rsid w:val="175F588A"/>
    <w:rsid w:val="177411BB"/>
    <w:rsid w:val="179C20C5"/>
    <w:rsid w:val="17AA779A"/>
    <w:rsid w:val="17BD440B"/>
    <w:rsid w:val="17C567CF"/>
    <w:rsid w:val="1809785C"/>
    <w:rsid w:val="180A7AE9"/>
    <w:rsid w:val="182B2E4B"/>
    <w:rsid w:val="183171C6"/>
    <w:rsid w:val="18364AE1"/>
    <w:rsid w:val="18465D2C"/>
    <w:rsid w:val="18742582"/>
    <w:rsid w:val="18867183"/>
    <w:rsid w:val="18A311F1"/>
    <w:rsid w:val="18A70B8F"/>
    <w:rsid w:val="18BF1FBA"/>
    <w:rsid w:val="18CB3728"/>
    <w:rsid w:val="18DF5F5B"/>
    <w:rsid w:val="18F14853"/>
    <w:rsid w:val="190425AE"/>
    <w:rsid w:val="190F5C37"/>
    <w:rsid w:val="191A5334"/>
    <w:rsid w:val="193870B8"/>
    <w:rsid w:val="194D758D"/>
    <w:rsid w:val="194F32AC"/>
    <w:rsid w:val="1A2D4D06"/>
    <w:rsid w:val="1A2E6EA9"/>
    <w:rsid w:val="1AAD3741"/>
    <w:rsid w:val="1ACA351F"/>
    <w:rsid w:val="1AD14D6F"/>
    <w:rsid w:val="1AD43243"/>
    <w:rsid w:val="1B162988"/>
    <w:rsid w:val="1B1C3BBD"/>
    <w:rsid w:val="1B1F0057"/>
    <w:rsid w:val="1B563E29"/>
    <w:rsid w:val="1B5E55A6"/>
    <w:rsid w:val="1B8F1490"/>
    <w:rsid w:val="1BAD5C14"/>
    <w:rsid w:val="1BB6087D"/>
    <w:rsid w:val="1BB97677"/>
    <w:rsid w:val="1BF77B71"/>
    <w:rsid w:val="1C0D5090"/>
    <w:rsid w:val="1C113B55"/>
    <w:rsid w:val="1C1236F2"/>
    <w:rsid w:val="1C373456"/>
    <w:rsid w:val="1C3E5392"/>
    <w:rsid w:val="1C68306A"/>
    <w:rsid w:val="1CBA30EA"/>
    <w:rsid w:val="1CD147DA"/>
    <w:rsid w:val="1D0C0B8E"/>
    <w:rsid w:val="1D3E04A5"/>
    <w:rsid w:val="1D8403EA"/>
    <w:rsid w:val="1DFF17B6"/>
    <w:rsid w:val="1E302141"/>
    <w:rsid w:val="1E4B5916"/>
    <w:rsid w:val="1E5B6A51"/>
    <w:rsid w:val="1E772A72"/>
    <w:rsid w:val="1E8F2CE5"/>
    <w:rsid w:val="1EB543AC"/>
    <w:rsid w:val="1EC57AEB"/>
    <w:rsid w:val="1ECC28C4"/>
    <w:rsid w:val="1EF64045"/>
    <w:rsid w:val="1F0E3564"/>
    <w:rsid w:val="1FD37EFD"/>
    <w:rsid w:val="1FDC1484"/>
    <w:rsid w:val="1FDF585C"/>
    <w:rsid w:val="202E4447"/>
    <w:rsid w:val="204E453A"/>
    <w:rsid w:val="2051583B"/>
    <w:rsid w:val="20520CB5"/>
    <w:rsid w:val="20B20E04"/>
    <w:rsid w:val="20E41074"/>
    <w:rsid w:val="210C7FFA"/>
    <w:rsid w:val="214609A7"/>
    <w:rsid w:val="2164557C"/>
    <w:rsid w:val="216F5A95"/>
    <w:rsid w:val="217C402C"/>
    <w:rsid w:val="2180276D"/>
    <w:rsid w:val="21886730"/>
    <w:rsid w:val="218A0926"/>
    <w:rsid w:val="218C1CB4"/>
    <w:rsid w:val="21990FBD"/>
    <w:rsid w:val="21A45BC6"/>
    <w:rsid w:val="21D621E7"/>
    <w:rsid w:val="21E36908"/>
    <w:rsid w:val="22402549"/>
    <w:rsid w:val="22CA4B5B"/>
    <w:rsid w:val="22D447D6"/>
    <w:rsid w:val="22F00F04"/>
    <w:rsid w:val="22F41D08"/>
    <w:rsid w:val="231D0D3A"/>
    <w:rsid w:val="236D59D4"/>
    <w:rsid w:val="23963801"/>
    <w:rsid w:val="23A579FC"/>
    <w:rsid w:val="23AA0A74"/>
    <w:rsid w:val="23C81B01"/>
    <w:rsid w:val="23D905BE"/>
    <w:rsid w:val="23E82971"/>
    <w:rsid w:val="24183E6E"/>
    <w:rsid w:val="243162F3"/>
    <w:rsid w:val="244770AE"/>
    <w:rsid w:val="244C76FF"/>
    <w:rsid w:val="248C5333"/>
    <w:rsid w:val="24BC4B8F"/>
    <w:rsid w:val="24D403AF"/>
    <w:rsid w:val="25095D03"/>
    <w:rsid w:val="250B72F9"/>
    <w:rsid w:val="25341171"/>
    <w:rsid w:val="25820D37"/>
    <w:rsid w:val="25CF309C"/>
    <w:rsid w:val="26413F89"/>
    <w:rsid w:val="2662509F"/>
    <w:rsid w:val="268D07D1"/>
    <w:rsid w:val="26B4390E"/>
    <w:rsid w:val="26B56F2F"/>
    <w:rsid w:val="26E05931"/>
    <w:rsid w:val="27170E65"/>
    <w:rsid w:val="274379C6"/>
    <w:rsid w:val="274F44CD"/>
    <w:rsid w:val="2752361E"/>
    <w:rsid w:val="275972F9"/>
    <w:rsid w:val="27856245"/>
    <w:rsid w:val="278D1F19"/>
    <w:rsid w:val="27993D66"/>
    <w:rsid w:val="27B57458"/>
    <w:rsid w:val="28153856"/>
    <w:rsid w:val="284C7931"/>
    <w:rsid w:val="286C0065"/>
    <w:rsid w:val="28C04080"/>
    <w:rsid w:val="28E04C68"/>
    <w:rsid w:val="29047005"/>
    <w:rsid w:val="293D5FEF"/>
    <w:rsid w:val="294B5EC1"/>
    <w:rsid w:val="298C27E5"/>
    <w:rsid w:val="29A105AF"/>
    <w:rsid w:val="29B84876"/>
    <w:rsid w:val="29C15707"/>
    <w:rsid w:val="29C71EFE"/>
    <w:rsid w:val="29CC617F"/>
    <w:rsid w:val="2A2D0ABE"/>
    <w:rsid w:val="2A334A29"/>
    <w:rsid w:val="2A922E98"/>
    <w:rsid w:val="2ABE7642"/>
    <w:rsid w:val="2ACB13BB"/>
    <w:rsid w:val="2ACF2327"/>
    <w:rsid w:val="2AD0573F"/>
    <w:rsid w:val="2ADE5DAB"/>
    <w:rsid w:val="2AEA7995"/>
    <w:rsid w:val="2B003DA5"/>
    <w:rsid w:val="2B1C67EB"/>
    <w:rsid w:val="2B573437"/>
    <w:rsid w:val="2B717A0D"/>
    <w:rsid w:val="2B8A3A93"/>
    <w:rsid w:val="2B9831D2"/>
    <w:rsid w:val="2BC76187"/>
    <w:rsid w:val="2C16709C"/>
    <w:rsid w:val="2C495174"/>
    <w:rsid w:val="2C693648"/>
    <w:rsid w:val="2C8D0007"/>
    <w:rsid w:val="2C9D1530"/>
    <w:rsid w:val="2CBD6168"/>
    <w:rsid w:val="2CF21B44"/>
    <w:rsid w:val="2D31794B"/>
    <w:rsid w:val="2D356FB3"/>
    <w:rsid w:val="2D5334C2"/>
    <w:rsid w:val="2D8C53D4"/>
    <w:rsid w:val="2DA41B14"/>
    <w:rsid w:val="2DC663E8"/>
    <w:rsid w:val="2E40729E"/>
    <w:rsid w:val="2E4300A2"/>
    <w:rsid w:val="2EA83956"/>
    <w:rsid w:val="2EB52B21"/>
    <w:rsid w:val="2EBC26F9"/>
    <w:rsid w:val="2EE202E0"/>
    <w:rsid w:val="2F05140C"/>
    <w:rsid w:val="2F2851A8"/>
    <w:rsid w:val="2F7E0EBF"/>
    <w:rsid w:val="2FC87008"/>
    <w:rsid w:val="2FE648F6"/>
    <w:rsid w:val="2FE76E5D"/>
    <w:rsid w:val="2FFF273C"/>
    <w:rsid w:val="30060286"/>
    <w:rsid w:val="30060FA1"/>
    <w:rsid w:val="302F6225"/>
    <w:rsid w:val="30805218"/>
    <w:rsid w:val="30BE413E"/>
    <w:rsid w:val="30C32536"/>
    <w:rsid w:val="30CC0583"/>
    <w:rsid w:val="30DA1BCD"/>
    <w:rsid w:val="30EA40DB"/>
    <w:rsid w:val="31814C21"/>
    <w:rsid w:val="31A912B8"/>
    <w:rsid w:val="31BA76E1"/>
    <w:rsid w:val="31F85D1F"/>
    <w:rsid w:val="31FA1E94"/>
    <w:rsid w:val="31FE6D56"/>
    <w:rsid w:val="32523A8C"/>
    <w:rsid w:val="3260769F"/>
    <w:rsid w:val="328A56E2"/>
    <w:rsid w:val="329F3412"/>
    <w:rsid w:val="32D92185"/>
    <w:rsid w:val="33700C81"/>
    <w:rsid w:val="33914483"/>
    <w:rsid w:val="33967746"/>
    <w:rsid w:val="33B4582C"/>
    <w:rsid w:val="33F457FB"/>
    <w:rsid w:val="33FE33B8"/>
    <w:rsid w:val="33FE6C2D"/>
    <w:rsid w:val="341742B1"/>
    <w:rsid w:val="34232D25"/>
    <w:rsid w:val="34282811"/>
    <w:rsid w:val="34342A7E"/>
    <w:rsid w:val="34433687"/>
    <w:rsid w:val="344D0AC1"/>
    <w:rsid w:val="344F167A"/>
    <w:rsid w:val="345E3274"/>
    <w:rsid w:val="34834466"/>
    <w:rsid w:val="349F33BF"/>
    <w:rsid w:val="34D35491"/>
    <w:rsid w:val="34F4747C"/>
    <w:rsid w:val="34FC3ADE"/>
    <w:rsid w:val="35056AE6"/>
    <w:rsid w:val="35080084"/>
    <w:rsid w:val="35461E81"/>
    <w:rsid w:val="355A2DA9"/>
    <w:rsid w:val="35917495"/>
    <w:rsid w:val="35CC1724"/>
    <w:rsid w:val="361D4745"/>
    <w:rsid w:val="364A1F29"/>
    <w:rsid w:val="36586DFF"/>
    <w:rsid w:val="36BE1706"/>
    <w:rsid w:val="36BF539F"/>
    <w:rsid w:val="36F6305B"/>
    <w:rsid w:val="370A210D"/>
    <w:rsid w:val="370C0C58"/>
    <w:rsid w:val="37146654"/>
    <w:rsid w:val="371731FF"/>
    <w:rsid w:val="37F64D78"/>
    <w:rsid w:val="381918E0"/>
    <w:rsid w:val="382E736F"/>
    <w:rsid w:val="38400DA6"/>
    <w:rsid w:val="38656310"/>
    <w:rsid w:val="38A30BCC"/>
    <w:rsid w:val="38AE04FB"/>
    <w:rsid w:val="38BC6123"/>
    <w:rsid w:val="38C85928"/>
    <w:rsid w:val="38D749BE"/>
    <w:rsid w:val="38FD2568"/>
    <w:rsid w:val="390A28B7"/>
    <w:rsid w:val="396B44CC"/>
    <w:rsid w:val="396E31CF"/>
    <w:rsid w:val="39CE0ECC"/>
    <w:rsid w:val="39D62BB0"/>
    <w:rsid w:val="39E63A5C"/>
    <w:rsid w:val="39EA02AB"/>
    <w:rsid w:val="3A21076E"/>
    <w:rsid w:val="3A443F24"/>
    <w:rsid w:val="3A641B71"/>
    <w:rsid w:val="3A725F89"/>
    <w:rsid w:val="3AA84293"/>
    <w:rsid w:val="3ACD20C6"/>
    <w:rsid w:val="3AE12AFE"/>
    <w:rsid w:val="3B0F4E75"/>
    <w:rsid w:val="3B303F53"/>
    <w:rsid w:val="3B6776F9"/>
    <w:rsid w:val="3B7B109A"/>
    <w:rsid w:val="3BC11CFB"/>
    <w:rsid w:val="3BDD0D1D"/>
    <w:rsid w:val="3BEB786A"/>
    <w:rsid w:val="3C602A65"/>
    <w:rsid w:val="3C677592"/>
    <w:rsid w:val="3C6C54BE"/>
    <w:rsid w:val="3C7539FE"/>
    <w:rsid w:val="3C8064CE"/>
    <w:rsid w:val="3CB30742"/>
    <w:rsid w:val="3CD61D79"/>
    <w:rsid w:val="3CDE6240"/>
    <w:rsid w:val="3CEB10B3"/>
    <w:rsid w:val="3D2B7F3B"/>
    <w:rsid w:val="3D2C230E"/>
    <w:rsid w:val="3D670C05"/>
    <w:rsid w:val="3DE13F5D"/>
    <w:rsid w:val="3E1E7878"/>
    <w:rsid w:val="3E3A74C5"/>
    <w:rsid w:val="3E8B0B59"/>
    <w:rsid w:val="3EB01656"/>
    <w:rsid w:val="3EB018AF"/>
    <w:rsid w:val="3EB04AF9"/>
    <w:rsid w:val="3EE06316"/>
    <w:rsid w:val="3F01488B"/>
    <w:rsid w:val="3F124D88"/>
    <w:rsid w:val="3F263F0F"/>
    <w:rsid w:val="3F641937"/>
    <w:rsid w:val="3F8359FC"/>
    <w:rsid w:val="3F983CEF"/>
    <w:rsid w:val="3FA01E68"/>
    <w:rsid w:val="3FB723E3"/>
    <w:rsid w:val="403900AE"/>
    <w:rsid w:val="406704AC"/>
    <w:rsid w:val="40D42713"/>
    <w:rsid w:val="40DF37ED"/>
    <w:rsid w:val="40E1345D"/>
    <w:rsid w:val="40ED4623"/>
    <w:rsid w:val="41481471"/>
    <w:rsid w:val="41534D23"/>
    <w:rsid w:val="415715CF"/>
    <w:rsid w:val="41613F70"/>
    <w:rsid w:val="41797945"/>
    <w:rsid w:val="41BB3223"/>
    <w:rsid w:val="41BB5F41"/>
    <w:rsid w:val="41F61BE6"/>
    <w:rsid w:val="424143AD"/>
    <w:rsid w:val="42624118"/>
    <w:rsid w:val="427613FE"/>
    <w:rsid w:val="42B36192"/>
    <w:rsid w:val="42C121C8"/>
    <w:rsid w:val="42F03B7E"/>
    <w:rsid w:val="43197E85"/>
    <w:rsid w:val="43255552"/>
    <w:rsid w:val="435B228D"/>
    <w:rsid w:val="4366194A"/>
    <w:rsid w:val="43674737"/>
    <w:rsid w:val="43A402A4"/>
    <w:rsid w:val="43C33773"/>
    <w:rsid w:val="43D50550"/>
    <w:rsid w:val="443D4100"/>
    <w:rsid w:val="445A4A78"/>
    <w:rsid w:val="44AD3D06"/>
    <w:rsid w:val="44D51D5D"/>
    <w:rsid w:val="4503073E"/>
    <w:rsid w:val="450D4499"/>
    <w:rsid w:val="4524167F"/>
    <w:rsid w:val="456503EA"/>
    <w:rsid w:val="45944AD4"/>
    <w:rsid w:val="45D951BA"/>
    <w:rsid w:val="45ED1E0E"/>
    <w:rsid w:val="460006CB"/>
    <w:rsid w:val="462A1E93"/>
    <w:rsid w:val="46490B82"/>
    <w:rsid w:val="464C19A4"/>
    <w:rsid w:val="46764095"/>
    <w:rsid w:val="468864FB"/>
    <w:rsid w:val="46AD5FE1"/>
    <w:rsid w:val="46B06223"/>
    <w:rsid w:val="46D44314"/>
    <w:rsid w:val="47195D1C"/>
    <w:rsid w:val="4741430C"/>
    <w:rsid w:val="476D46F8"/>
    <w:rsid w:val="479A2451"/>
    <w:rsid w:val="47CF32B7"/>
    <w:rsid w:val="47D0310B"/>
    <w:rsid w:val="47D55384"/>
    <w:rsid w:val="47D86023"/>
    <w:rsid w:val="480D234E"/>
    <w:rsid w:val="48214043"/>
    <w:rsid w:val="483D2935"/>
    <w:rsid w:val="486274FB"/>
    <w:rsid w:val="48C05890"/>
    <w:rsid w:val="48D413BA"/>
    <w:rsid w:val="48DB5573"/>
    <w:rsid w:val="48EF166C"/>
    <w:rsid w:val="48F17141"/>
    <w:rsid w:val="49282757"/>
    <w:rsid w:val="49524011"/>
    <w:rsid w:val="4984615E"/>
    <w:rsid w:val="499B19B1"/>
    <w:rsid w:val="49AF67B6"/>
    <w:rsid w:val="49C8517E"/>
    <w:rsid w:val="49F235A0"/>
    <w:rsid w:val="4A033CBD"/>
    <w:rsid w:val="4A23507E"/>
    <w:rsid w:val="4A996A5E"/>
    <w:rsid w:val="4AD01C64"/>
    <w:rsid w:val="4AD04BC5"/>
    <w:rsid w:val="4AE70A4D"/>
    <w:rsid w:val="4AE941EF"/>
    <w:rsid w:val="4AEC6E17"/>
    <w:rsid w:val="4AF33CC3"/>
    <w:rsid w:val="4B0144E8"/>
    <w:rsid w:val="4B0B7D39"/>
    <w:rsid w:val="4B2F4731"/>
    <w:rsid w:val="4B3B2A2E"/>
    <w:rsid w:val="4B455DB1"/>
    <w:rsid w:val="4B626496"/>
    <w:rsid w:val="4B8325E7"/>
    <w:rsid w:val="4BA86CD9"/>
    <w:rsid w:val="4BD9391F"/>
    <w:rsid w:val="4C0B4320"/>
    <w:rsid w:val="4C1B0A5E"/>
    <w:rsid w:val="4C59747A"/>
    <w:rsid w:val="4C967C97"/>
    <w:rsid w:val="4CD86AB8"/>
    <w:rsid w:val="4CE660A9"/>
    <w:rsid w:val="4D0564DE"/>
    <w:rsid w:val="4D5137E4"/>
    <w:rsid w:val="4DA3004F"/>
    <w:rsid w:val="4DB2403C"/>
    <w:rsid w:val="4DC65FCA"/>
    <w:rsid w:val="4DD432AC"/>
    <w:rsid w:val="4DDE1508"/>
    <w:rsid w:val="4DF27FBD"/>
    <w:rsid w:val="4E2C1D62"/>
    <w:rsid w:val="4E4D002D"/>
    <w:rsid w:val="4E8A0AAA"/>
    <w:rsid w:val="4E977690"/>
    <w:rsid w:val="4EAD4A67"/>
    <w:rsid w:val="4EBF6C75"/>
    <w:rsid w:val="4F416EF7"/>
    <w:rsid w:val="4F4C2E43"/>
    <w:rsid w:val="4F5A0C17"/>
    <w:rsid w:val="4F5E3A1F"/>
    <w:rsid w:val="4F613F30"/>
    <w:rsid w:val="4F8340B9"/>
    <w:rsid w:val="4FDD248C"/>
    <w:rsid w:val="500050F5"/>
    <w:rsid w:val="5082771D"/>
    <w:rsid w:val="50F25606"/>
    <w:rsid w:val="51177403"/>
    <w:rsid w:val="513F58FB"/>
    <w:rsid w:val="514A0B1C"/>
    <w:rsid w:val="514B2B59"/>
    <w:rsid w:val="515B30DB"/>
    <w:rsid w:val="516A7582"/>
    <w:rsid w:val="51840A0E"/>
    <w:rsid w:val="518B677E"/>
    <w:rsid w:val="51BC0A5D"/>
    <w:rsid w:val="52124677"/>
    <w:rsid w:val="523875A3"/>
    <w:rsid w:val="52444528"/>
    <w:rsid w:val="526E4B6A"/>
    <w:rsid w:val="5270213D"/>
    <w:rsid w:val="527672B0"/>
    <w:rsid w:val="528B443F"/>
    <w:rsid w:val="52922B09"/>
    <w:rsid w:val="529E6595"/>
    <w:rsid w:val="52A943E1"/>
    <w:rsid w:val="52A94EDD"/>
    <w:rsid w:val="52D86154"/>
    <w:rsid w:val="52E11A1F"/>
    <w:rsid w:val="52E24CF7"/>
    <w:rsid w:val="52E41511"/>
    <w:rsid w:val="52ED1DA5"/>
    <w:rsid w:val="52F70454"/>
    <w:rsid w:val="539B5CB6"/>
    <w:rsid w:val="53B8542C"/>
    <w:rsid w:val="53D0133D"/>
    <w:rsid w:val="53EF5E3B"/>
    <w:rsid w:val="542A7A60"/>
    <w:rsid w:val="542C5415"/>
    <w:rsid w:val="544428F0"/>
    <w:rsid w:val="544D702C"/>
    <w:rsid w:val="54CD32F2"/>
    <w:rsid w:val="54E31B69"/>
    <w:rsid w:val="54FE3663"/>
    <w:rsid w:val="54FE6E2C"/>
    <w:rsid w:val="55084903"/>
    <w:rsid w:val="55457199"/>
    <w:rsid w:val="55512B30"/>
    <w:rsid w:val="55554996"/>
    <w:rsid w:val="555C3EDD"/>
    <w:rsid w:val="55782A63"/>
    <w:rsid w:val="55A951AA"/>
    <w:rsid w:val="55B326E1"/>
    <w:rsid w:val="55C27911"/>
    <w:rsid w:val="55CE6A9C"/>
    <w:rsid w:val="5619194F"/>
    <w:rsid w:val="56793E0F"/>
    <w:rsid w:val="56826800"/>
    <w:rsid w:val="56846B45"/>
    <w:rsid w:val="56A2566D"/>
    <w:rsid w:val="56A91DE6"/>
    <w:rsid w:val="574C3571"/>
    <w:rsid w:val="574E5987"/>
    <w:rsid w:val="5766012E"/>
    <w:rsid w:val="5803034B"/>
    <w:rsid w:val="583B6A3A"/>
    <w:rsid w:val="584B49E7"/>
    <w:rsid w:val="58876469"/>
    <w:rsid w:val="588D4E6C"/>
    <w:rsid w:val="58940EAF"/>
    <w:rsid w:val="590E782B"/>
    <w:rsid w:val="591135A1"/>
    <w:rsid w:val="592B3A2E"/>
    <w:rsid w:val="593C2A96"/>
    <w:rsid w:val="596435D3"/>
    <w:rsid w:val="59981FAE"/>
    <w:rsid w:val="5999238C"/>
    <w:rsid w:val="59B47705"/>
    <w:rsid w:val="59C47537"/>
    <w:rsid w:val="59D66E70"/>
    <w:rsid w:val="5A0D26C1"/>
    <w:rsid w:val="5A224D81"/>
    <w:rsid w:val="5A232171"/>
    <w:rsid w:val="5A53545E"/>
    <w:rsid w:val="5A671FDC"/>
    <w:rsid w:val="5A7078BB"/>
    <w:rsid w:val="5A7E3684"/>
    <w:rsid w:val="5AA6416A"/>
    <w:rsid w:val="5B0A0A7C"/>
    <w:rsid w:val="5B2924C2"/>
    <w:rsid w:val="5B3E36E9"/>
    <w:rsid w:val="5B600067"/>
    <w:rsid w:val="5BA96FB1"/>
    <w:rsid w:val="5BAC1E9C"/>
    <w:rsid w:val="5BD80741"/>
    <w:rsid w:val="5C2E6856"/>
    <w:rsid w:val="5C492DF7"/>
    <w:rsid w:val="5C634072"/>
    <w:rsid w:val="5C655A1D"/>
    <w:rsid w:val="5C851E0A"/>
    <w:rsid w:val="5CB0222E"/>
    <w:rsid w:val="5CB15A5C"/>
    <w:rsid w:val="5CCF10FC"/>
    <w:rsid w:val="5D94396F"/>
    <w:rsid w:val="5D985FAF"/>
    <w:rsid w:val="5DC35460"/>
    <w:rsid w:val="5DC67170"/>
    <w:rsid w:val="5DD22BF0"/>
    <w:rsid w:val="5DE40295"/>
    <w:rsid w:val="5DE90BAF"/>
    <w:rsid w:val="5DEE6234"/>
    <w:rsid w:val="5E0D3631"/>
    <w:rsid w:val="5E144088"/>
    <w:rsid w:val="5E1F79C3"/>
    <w:rsid w:val="5E52576D"/>
    <w:rsid w:val="5E755D16"/>
    <w:rsid w:val="5E7F6DFF"/>
    <w:rsid w:val="5E962A15"/>
    <w:rsid w:val="5EAC2D90"/>
    <w:rsid w:val="5EC660BE"/>
    <w:rsid w:val="5F0977E5"/>
    <w:rsid w:val="5F44763C"/>
    <w:rsid w:val="5F540694"/>
    <w:rsid w:val="5F8E1B78"/>
    <w:rsid w:val="5F977219"/>
    <w:rsid w:val="5FDE03C0"/>
    <w:rsid w:val="5FE3674E"/>
    <w:rsid w:val="605416CB"/>
    <w:rsid w:val="606832BC"/>
    <w:rsid w:val="607968CD"/>
    <w:rsid w:val="60A05F3D"/>
    <w:rsid w:val="60A33EDF"/>
    <w:rsid w:val="61201C73"/>
    <w:rsid w:val="61467895"/>
    <w:rsid w:val="615F7782"/>
    <w:rsid w:val="618E0A26"/>
    <w:rsid w:val="619C38E5"/>
    <w:rsid w:val="61C444CA"/>
    <w:rsid w:val="61D147B9"/>
    <w:rsid w:val="620A1C0C"/>
    <w:rsid w:val="620F443F"/>
    <w:rsid w:val="624045B7"/>
    <w:rsid w:val="624F6700"/>
    <w:rsid w:val="62760B1A"/>
    <w:rsid w:val="62AE7282"/>
    <w:rsid w:val="62C20243"/>
    <w:rsid w:val="634E6F93"/>
    <w:rsid w:val="63D0769B"/>
    <w:rsid w:val="63D57CE9"/>
    <w:rsid w:val="63DE1CC9"/>
    <w:rsid w:val="64135452"/>
    <w:rsid w:val="643A6B3B"/>
    <w:rsid w:val="6450015C"/>
    <w:rsid w:val="64805752"/>
    <w:rsid w:val="6482281F"/>
    <w:rsid w:val="64927321"/>
    <w:rsid w:val="64943A4D"/>
    <w:rsid w:val="64D00D58"/>
    <w:rsid w:val="64F83FFC"/>
    <w:rsid w:val="65050A9D"/>
    <w:rsid w:val="653E283D"/>
    <w:rsid w:val="653E568B"/>
    <w:rsid w:val="65817354"/>
    <w:rsid w:val="659245A7"/>
    <w:rsid w:val="65BD1FBE"/>
    <w:rsid w:val="65C377FB"/>
    <w:rsid w:val="65DB4838"/>
    <w:rsid w:val="65DE0290"/>
    <w:rsid w:val="65DF1CBE"/>
    <w:rsid w:val="65F472DB"/>
    <w:rsid w:val="661126E8"/>
    <w:rsid w:val="66364E91"/>
    <w:rsid w:val="66D016BA"/>
    <w:rsid w:val="671D2417"/>
    <w:rsid w:val="6755252F"/>
    <w:rsid w:val="67576DAA"/>
    <w:rsid w:val="67C80A1A"/>
    <w:rsid w:val="67D36657"/>
    <w:rsid w:val="68417449"/>
    <w:rsid w:val="68454527"/>
    <w:rsid w:val="684E4D4C"/>
    <w:rsid w:val="68811E54"/>
    <w:rsid w:val="68B10315"/>
    <w:rsid w:val="68C61C8E"/>
    <w:rsid w:val="68CB145A"/>
    <w:rsid w:val="68CC780D"/>
    <w:rsid w:val="68D54759"/>
    <w:rsid w:val="692601CC"/>
    <w:rsid w:val="69387739"/>
    <w:rsid w:val="6A561FF9"/>
    <w:rsid w:val="6A5D6442"/>
    <w:rsid w:val="6A9069AC"/>
    <w:rsid w:val="6AA9679E"/>
    <w:rsid w:val="6AF6271C"/>
    <w:rsid w:val="6B0B4331"/>
    <w:rsid w:val="6B0C2A24"/>
    <w:rsid w:val="6B6B257C"/>
    <w:rsid w:val="6B711BEA"/>
    <w:rsid w:val="6B7520DE"/>
    <w:rsid w:val="6B81519B"/>
    <w:rsid w:val="6BBA5293"/>
    <w:rsid w:val="6BEE4C8B"/>
    <w:rsid w:val="6C026E21"/>
    <w:rsid w:val="6C335661"/>
    <w:rsid w:val="6C3C5878"/>
    <w:rsid w:val="6C482F4F"/>
    <w:rsid w:val="6C4C531E"/>
    <w:rsid w:val="6CA651F0"/>
    <w:rsid w:val="6CAF7912"/>
    <w:rsid w:val="6CF670AE"/>
    <w:rsid w:val="6CF74DFC"/>
    <w:rsid w:val="6D3F50E5"/>
    <w:rsid w:val="6D701F26"/>
    <w:rsid w:val="6D776A82"/>
    <w:rsid w:val="6DB45DC7"/>
    <w:rsid w:val="6DC0658F"/>
    <w:rsid w:val="6DD440AD"/>
    <w:rsid w:val="6DD97A46"/>
    <w:rsid w:val="6E07245E"/>
    <w:rsid w:val="6E0B1CB4"/>
    <w:rsid w:val="6E1051A5"/>
    <w:rsid w:val="6E204E21"/>
    <w:rsid w:val="6E2457FB"/>
    <w:rsid w:val="6E4C25A0"/>
    <w:rsid w:val="6E902549"/>
    <w:rsid w:val="6EC4635C"/>
    <w:rsid w:val="6ED2284C"/>
    <w:rsid w:val="6EE25E6D"/>
    <w:rsid w:val="6F101A6E"/>
    <w:rsid w:val="6F233669"/>
    <w:rsid w:val="6F363CE3"/>
    <w:rsid w:val="6F4A7A81"/>
    <w:rsid w:val="6F706F0A"/>
    <w:rsid w:val="6F71063A"/>
    <w:rsid w:val="6F8E232C"/>
    <w:rsid w:val="6F91600E"/>
    <w:rsid w:val="6F9C2AE6"/>
    <w:rsid w:val="6FB93C98"/>
    <w:rsid w:val="6FD344F8"/>
    <w:rsid w:val="70403463"/>
    <w:rsid w:val="70662BAD"/>
    <w:rsid w:val="707F57A0"/>
    <w:rsid w:val="708424B6"/>
    <w:rsid w:val="70953841"/>
    <w:rsid w:val="70BA1D16"/>
    <w:rsid w:val="70DA5E38"/>
    <w:rsid w:val="70E67EBF"/>
    <w:rsid w:val="70FB66AC"/>
    <w:rsid w:val="71210662"/>
    <w:rsid w:val="71886468"/>
    <w:rsid w:val="71A12F68"/>
    <w:rsid w:val="71D32285"/>
    <w:rsid w:val="71F17122"/>
    <w:rsid w:val="71F453F5"/>
    <w:rsid w:val="723762B8"/>
    <w:rsid w:val="724B1E48"/>
    <w:rsid w:val="725E757C"/>
    <w:rsid w:val="72824762"/>
    <w:rsid w:val="72951565"/>
    <w:rsid w:val="72DD36DD"/>
    <w:rsid w:val="72EE6951"/>
    <w:rsid w:val="73067EDB"/>
    <w:rsid w:val="731352BE"/>
    <w:rsid w:val="73281128"/>
    <w:rsid w:val="73D25605"/>
    <w:rsid w:val="73D70B8F"/>
    <w:rsid w:val="73F5402A"/>
    <w:rsid w:val="7405361B"/>
    <w:rsid w:val="7452237C"/>
    <w:rsid w:val="74540827"/>
    <w:rsid w:val="747070F3"/>
    <w:rsid w:val="74784DF2"/>
    <w:rsid w:val="7495781B"/>
    <w:rsid w:val="756A11E9"/>
    <w:rsid w:val="758722F6"/>
    <w:rsid w:val="759056FF"/>
    <w:rsid w:val="75AB0EF7"/>
    <w:rsid w:val="75FD4C93"/>
    <w:rsid w:val="763B4830"/>
    <w:rsid w:val="766A1100"/>
    <w:rsid w:val="769732B2"/>
    <w:rsid w:val="76B7383D"/>
    <w:rsid w:val="76C60783"/>
    <w:rsid w:val="76F82852"/>
    <w:rsid w:val="77481128"/>
    <w:rsid w:val="774B4475"/>
    <w:rsid w:val="77B73AA7"/>
    <w:rsid w:val="77E34C80"/>
    <w:rsid w:val="77F2488C"/>
    <w:rsid w:val="77F95916"/>
    <w:rsid w:val="78143AEB"/>
    <w:rsid w:val="783E4BEE"/>
    <w:rsid w:val="784E02EE"/>
    <w:rsid w:val="786353D2"/>
    <w:rsid w:val="78694865"/>
    <w:rsid w:val="787C051F"/>
    <w:rsid w:val="78AE737E"/>
    <w:rsid w:val="79043FCA"/>
    <w:rsid w:val="7953334A"/>
    <w:rsid w:val="7959445D"/>
    <w:rsid w:val="795D36B3"/>
    <w:rsid w:val="796252F0"/>
    <w:rsid w:val="796B03FB"/>
    <w:rsid w:val="79E5241B"/>
    <w:rsid w:val="79FE4367"/>
    <w:rsid w:val="7A861BD3"/>
    <w:rsid w:val="7A8F3414"/>
    <w:rsid w:val="7ABB36DA"/>
    <w:rsid w:val="7AC87A3C"/>
    <w:rsid w:val="7AD63C73"/>
    <w:rsid w:val="7B087F0E"/>
    <w:rsid w:val="7B090DB2"/>
    <w:rsid w:val="7BAF24C4"/>
    <w:rsid w:val="7C137492"/>
    <w:rsid w:val="7C440EF4"/>
    <w:rsid w:val="7C544D85"/>
    <w:rsid w:val="7C560556"/>
    <w:rsid w:val="7C7C6147"/>
    <w:rsid w:val="7C8A71D3"/>
    <w:rsid w:val="7C8E66D5"/>
    <w:rsid w:val="7CE60125"/>
    <w:rsid w:val="7D033F70"/>
    <w:rsid w:val="7D0A095B"/>
    <w:rsid w:val="7D431FD0"/>
    <w:rsid w:val="7D686FA6"/>
    <w:rsid w:val="7D6B2EB6"/>
    <w:rsid w:val="7D962EE0"/>
    <w:rsid w:val="7D9D3CA8"/>
    <w:rsid w:val="7D9E11D4"/>
    <w:rsid w:val="7DF438C8"/>
    <w:rsid w:val="7E1E6377"/>
    <w:rsid w:val="7E2674DB"/>
    <w:rsid w:val="7E4B222E"/>
    <w:rsid w:val="7E675FC2"/>
    <w:rsid w:val="7E782805"/>
    <w:rsid w:val="7EA66070"/>
    <w:rsid w:val="7EAF2F2B"/>
    <w:rsid w:val="7EDD398F"/>
    <w:rsid w:val="7EFF538E"/>
    <w:rsid w:val="7F152B38"/>
    <w:rsid w:val="7F27404F"/>
    <w:rsid w:val="7F2C28A7"/>
    <w:rsid w:val="7F720041"/>
    <w:rsid w:val="7F876AEC"/>
    <w:rsid w:val="7F8C60EA"/>
    <w:rsid w:val="7FE2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annotation text"/>
    <w:basedOn w:val="1"/>
    <w:qFormat/>
    <w:uiPriority w:val="0"/>
    <w:pPr>
      <w:jc w:val="left"/>
    </w:pPr>
  </w:style>
  <w:style w:type="paragraph" w:styleId="7">
    <w:name w:val="Body Text"/>
    <w:basedOn w:val="1"/>
    <w:qFormat/>
    <w:uiPriority w:val="1"/>
    <w:pPr>
      <w:autoSpaceDE w:val="0"/>
      <w:autoSpaceDN w:val="0"/>
      <w:adjustRightInd w:val="0"/>
      <w:ind w:left="161"/>
      <w:jc w:val="left"/>
    </w:pPr>
    <w:rPr>
      <w:rFonts w:ascii="宋体" w:cs="宋体"/>
      <w:kern w:val="0"/>
      <w:szCs w:val="32"/>
    </w:rPr>
  </w:style>
  <w:style w:type="paragraph" w:styleId="8">
    <w:name w:val="Body Text Indent"/>
    <w:basedOn w:val="1"/>
    <w:link w:val="67"/>
    <w:semiHidden/>
    <w:unhideWhenUsed/>
    <w:qFormat/>
    <w:uiPriority w:val="0"/>
    <w:pPr>
      <w:spacing w:after="120"/>
      <w:ind w:left="420" w:leftChars="200"/>
    </w:pPr>
  </w:style>
  <w:style w:type="paragraph" w:styleId="9">
    <w:name w:val="Block Text"/>
    <w:qFormat/>
    <w:uiPriority w:val="0"/>
    <w:pPr>
      <w:widowControl w:val="0"/>
      <w:spacing w:after="120"/>
      <w:ind w:left="1440" w:leftChars="700" w:right="1440" w:rightChars="700"/>
      <w:jc w:val="both"/>
    </w:pPr>
    <w:rPr>
      <w:rFonts w:eastAsia="仿宋_GB2312" w:asciiTheme="minorHAnsi" w:hAnsiTheme="minorHAnsi" w:cstheme="minorBidi"/>
      <w:kern w:val="2"/>
      <w:sz w:val="32"/>
      <w:szCs w:val="24"/>
      <w:lang w:val="en-US" w:eastAsia="zh-CN" w:bidi="ar-SA"/>
    </w:rPr>
  </w:style>
  <w:style w:type="paragraph" w:styleId="10">
    <w:name w:val="Balloon Text"/>
    <w:basedOn w:val="1"/>
    <w:link w:val="72"/>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3"/>
    <w:qFormat/>
    <w:uiPriority w:val="0"/>
    <w:pPr>
      <w:pBdr>
        <w:bottom w:val="single" w:color="auto" w:sz="6" w:space="1"/>
      </w:pBdr>
      <w:tabs>
        <w:tab w:val="center" w:pos="4153"/>
        <w:tab w:val="right" w:pos="8306"/>
      </w:tabs>
      <w:snapToGrid w:val="0"/>
      <w:jc w:val="center"/>
    </w:pPr>
    <w:rPr>
      <w:sz w:val="18"/>
    </w:rPr>
  </w:style>
  <w:style w:type="paragraph" w:customStyle="1" w:styleId="13">
    <w:name w:val="BodyText"/>
    <w:basedOn w:val="1"/>
    <w:qFormat/>
    <w:uiPriority w:val="0"/>
    <w:pPr>
      <w:spacing w:after="120"/>
    </w:pPr>
  </w:style>
  <w:style w:type="paragraph" w:styleId="14">
    <w:name w:val="toc 1"/>
    <w:basedOn w:val="1"/>
    <w:next w:val="1"/>
    <w:qFormat/>
    <w:uiPriority w:val="0"/>
    <w:rPr>
      <w:rFonts w:ascii="Calibri" w:hAnsi="Calibri" w:eastAsia="宋体"/>
      <w:sz w:val="21"/>
      <w:szCs w:val="22"/>
    </w:rPr>
  </w:style>
  <w:style w:type="paragraph" w:styleId="15">
    <w:name w:val="toc 2"/>
    <w:basedOn w:val="1"/>
    <w:next w:val="1"/>
    <w:qFormat/>
    <w:uiPriority w:val="39"/>
    <w:pPr>
      <w:ind w:left="420" w:leftChars="200"/>
    </w:pPr>
    <w:rPr>
      <w:rFonts w:ascii="Calibri" w:hAnsi="Calibri" w:eastAsia="宋体"/>
      <w:sz w:val="21"/>
      <w:szCs w:val="22"/>
    </w:rPr>
  </w:style>
  <w:style w:type="paragraph" w:styleId="16">
    <w:name w:val="Normal (Web)"/>
    <w:basedOn w:val="1"/>
    <w:qFormat/>
    <w:uiPriority w:val="0"/>
    <w:pPr>
      <w:jc w:val="left"/>
    </w:pPr>
    <w:rPr>
      <w:kern w:val="0"/>
      <w:sz w:val="24"/>
    </w:rPr>
  </w:style>
  <w:style w:type="paragraph" w:styleId="17">
    <w:name w:val="Body Text First Indent"/>
    <w:basedOn w:val="1"/>
    <w:qFormat/>
    <w:uiPriority w:val="0"/>
    <w:pPr>
      <w:ind w:firstLine="420" w:firstLineChars="100"/>
    </w:pPr>
  </w:style>
  <w:style w:type="paragraph" w:styleId="18">
    <w:name w:val="Body Text First Indent 2"/>
    <w:basedOn w:val="8"/>
    <w:qFormat/>
    <w:uiPriority w:val="99"/>
    <w:pPr>
      <w:spacing w:after="0" w:line="600" w:lineRule="exact"/>
      <w:ind w:left="0" w:leftChars="0" w:firstLine="420" w:firstLineChars="200"/>
      <w:jc w:val="left"/>
    </w:pPr>
    <w:rPr>
      <w:rFonts w:ascii="方正仿宋简体" w:eastAsia="方正仿宋简体" w:cs="方正仿宋简体"/>
      <w:sz w:val="30"/>
      <w:szCs w:val="3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rPr>
      <w:rFonts w:eastAsia="宋体"/>
      <w:sz w:val="28"/>
    </w:rPr>
  </w:style>
  <w:style w:type="character" w:styleId="23">
    <w:name w:val="FollowedHyperlink"/>
    <w:basedOn w:val="21"/>
    <w:qFormat/>
    <w:uiPriority w:val="0"/>
    <w:rPr>
      <w:color w:val="3F3F3F"/>
      <w:u w:val="none"/>
    </w:rPr>
  </w:style>
  <w:style w:type="character" w:styleId="24">
    <w:name w:val="Emphasis"/>
    <w:basedOn w:val="21"/>
    <w:qFormat/>
    <w:uiPriority w:val="0"/>
  </w:style>
  <w:style w:type="character" w:styleId="25">
    <w:name w:val="Hyperlink"/>
    <w:qFormat/>
    <w:uiPriority w:val="99"/>
    <w:rPr>
      <w:rFonts w:cs="Times New Roman"/>
      <w:color w:val="0563C1"/>
      <w:u w:val="single"/>
    </w:rPr>
  </w:style>
  <w:style w:type="character" w:styleId="26">
    <w:name w:val="HTML Cite"/>
    <w:basedOn w:val="21"/>
    <w:qFormat/>
    <w:uiPriority w:val="0"/>
    <w:rPr>
      <w:color w:val="008000"/>
    </w:rPr>
  </w:style>
  <w:style w:type="paragraph" w:customStyle="1" w:styleId="27">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8">
    <w:name w:val="正文new"/>
    <w:basedOn w:val="1"/>
    <w:qFormat/>
    <w:uiPriority w:val="0"/>
    <w:pPr>
      <w:adjustRightInd w:val="0"/>
      <w:snapToGrid w:val="0"/>
      <w:spacing w:line="360" w:lineRule="auto"/>
      <w:ind w:firstLine="200" w:firstLineChars="200"/>
    </w:pPr>
    <w:rPr>
      <w:rFonts w:eastAsia="仿宋"/>
      <w:sz w:val="30"/>
      <w:szCs w:val="28"/>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paragraph" w:customStyle="1" w:styleId="30">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1">
    <w:name w:val="bsharetext"/>
    <w:basedOn w:val="21"/>
    <w:qFormat/>
    <w:uiPriority w:val="0"/>
  </w:style>
  <w:style w:type="character" w:customStyle="1" w:styleId="32">
    <w:name w:val="bds_more"/>
    <w:basedOn w:val="21"/>
    <w:qFormat/>
    <w:uiPriority w:val="0"/>
    <w:rPr>
      <w:rFonts w:hint="eastAsia" w:ascii="宋体" w:hAnsi="宋体" w:eastAsia="宋体" w:cs="宋体"/>
    </w:rPr>
  </w:style>
  <w:style w:type="character" w:customStyle="1" w:styleId="33">
    <w:name w:val="bds_more1"/>
    <w:basedOn w:val="21"/>
    <w:qFormat/>
    <w:uiPriority w:val="0"/>
  </w:style>
  <w:style w:type="character" w:customStyle="1" w:styleId="34">
    <w:name w:val="bds_more2"/>
    <w:basedOn w:val="21"/>
    <w:qFormat/>
    <w:uiPriority w:val="0"/>
  </w:style>
  <w:style w:type="character" w:customStyle="1" w:styleId="35">
    <w:name w:val="bds_nopic"/>
    <w:basedOn w:val="21"/>
    <w:qFormat/>
    <w:uiPriority w:val="0"/>
  </w:style>
  <w:style w:type="character" w:customStyle="1" w:styleId="36">
    <w:name w:val="bds_nopic1"/>
    <w:basedOn w:val="21"/>
    <w:qFormat/>
    <w:uiPriority w:val="0"/>
  </w:style>
  <w:style w:type="character" w:customStyle="1" w:styleId="37">
    <w:name w:val="bds_nopic2"/>
    <w:basedOn w:val="21"/>
    <w:qFormat/>
    <w:uiPriority w:val="0"/>
  </w:style>
  <w:style w:type="character" w:customStyle="1" w:styleId="38">
    <w:name w:val="c-icon28"/>
    <w:basedOn w:val="21"/>
    <w:qFormat/>
    <w:uiPriority w:val="0"/>
  </w:style>
  <w:style w:type="character" w:customStyle="1" w:styleId="39">
    <w:name w:val="hover22"/>
    <w:basedOn w:val="21"/>
    <w:qFormat/>
    <w:uiPriority w:val="0"/>
  </w:style>
  <w:style w:type="character" w:customStyle="1" w:styleId="40">
    <w:name w:val="hover23"/>
    <w:basedOn w:val="21"/>
    <w:qFormat/>
    <w:uiPriority w:val="0"/>
    <w:rPr>
      <w:color w:val="315EFB"/>
    </w:rPr>
  </w:style>
  <w:style w:type="paragraph" w:customStyle="1" w:styleId="41">
    <w:name w:val="列出段落1"/>
    <w:basedOn w:val="1"/>
    <w:qFormat/>
    <w:uiPriority w:val="99"/>
    <w:pPr>
      <w:ind w:firstLine="420" w:firstLineChars="200"/>
    </w:pPr>
  </w:style>
  <w:style w:type="character" w:customStyle="1" w:styleId="42">
    <w:name w:val="before"/>
    <w:basedOn w:val="21"/>
    <w:qFormat/>
    <w:uiPriority w:val="0"/>
    <w:rPr>
      <w:shd w:val="clear" w:color="auto" w:fill="0281DF"/>
    </w:rPr>
  </w:style>
  <w:style w:type="character" w:customStyle="1" w:styleId="43">
    <w:name w:val="yzm"/>
    <w:basedOn w:val="21"/>
    <w:qFormat/>
    <w:uiPriority w:val="0"/>
  </w:style>
  <w:style w:type="character" w:customStyle="1" w:styleId="44">
    <w:name w:val="tgspan"/>
    <w:basedOn w:val="21"/>
    <w:qFormat/>
    <w:uiPriority w:val="0"/>
  </w:style>
  <w:style w:type="character" w:customStyle="1" w:styleId="45">
    <w:name w:val="wx-space"/>
    <w:basedOn w:val="21"/>
    <w:qFormat/>
    <w:uiPriority w:val="0"/>
  </w:style>
  <w:style w:type="character" w:customStyle="1" w:styleId="46">
    <w:name w:val="wx-space1"/>
    <w:basedOn w:val="21"/>
    <w:qFormat/>
    <w:uiPriority w:val="0"/>
  </w:style>
  <w:style w:type="character" w:customStyle="1" w:styleId="47">
    <w:name w:val="hover7"/>
    <w:basedOn w:val="21"/>
    <w:qFormat/>
    <w:uiPriority w:val="0"/>
    <w:rPr>
      <w:color w:val="000000"/>
      <w:shd w:val="clear" w:color="auto" w:fill="FFFFFF"/>
    </w:rPr>
  </w:style>
  <w:style w:type="character" w:customStyle="1" w:styleId="48">
    <w:name w:val="hover8"/>
    <w:basedOn w:val="21"/>
    <w:qFormat/>
    <w:uiPriority w:val="0"/>
    <w:rPr>
      <w:color w:val="000000"/>
      <w:shd w:val="clear" w:color="auto" w:fill="FFFFFF"/>
    </w:rPr>
  </w:style>
  <w:style w:type="character" w:customStyle="1" w:styleId="49">
    <w:name w:val="hover6"/>
    <w:basedOn w:val="21"/>
    <w:qFormat/>
    <w:uiPriority w:val="0"/>
    <w:rPr>
      <w:color w:val="000000"/>
      <w:shd w:val="clear" w:color="auto" w:fill="FFFFFF"/>
    </w:rPr>
  </w:style>
  <w:style w:type="paragraph" w:customStyle="1" w:styleId="50">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51">
    <w:name w:val="_Style 1"/>
    <w:basedOn w:val="1"/>
    <w:qFormat/>
    <w:uiPriority w:val="0"/>
    <w:pPr>
      <w:spacing w:line="481" w:lineRule="atLeast"/>
      <w:ind w:firstLine="623"/>
      <w:textAlignment w:val="baseline"/>
    </w:pPr>
    <w:rPr>
      <w:color w:val="000000"/>
      <w:sz w:val="31"/>
    </w:rPr>
  </w:style>
  <w:style w:type="character" w:customStyle="1" w:styleId="52">
    <w:name w:val="font51"/>
    <w:basedOn w:val="21"/>
    <w:qFormat/>
    <w:uiPriority w:val="0"/>
    <w:rPr>
      <w:rFonts w:hint="default" w:ascii="Times New Roman" w:hAnsi="Times New Roman" w:cs="Times New Roman"/>
      <w:color w:val="000000"/>
      <w:sz w:val="22"/>
      <w:szCs w:val="22"/>
      <w:u w:val="none"/>
    </w:rPr>
  </w:style>
  <w:style w:type="character" w:customStyle="1" w:styleId="53">
    <w:name w:val="font131"/>
    <w:basedOn w:val="21"/>
    <w:qFormat/>
    <w:uiPriority w:val="0"/>
    <w:rPr>
      <w:rFonts w:hint="eastAsia" w:ascii="宋体" w:hAnsi="宋体" w:eastAsia="宋体" w:cs="宋体"/>
      <w:color w:val="000000"/>
      <w:sz w:val="22"/>
      <w:szCs w:val="22"/>
      <w:u w:val="none"/>
    </w:rPr>
  </w:style>
  <w:style w:type="character" w:customStyle="1" w:styleId="54">
    <w:name w:val="font201"/>
    <w:basedOn w:val="21"/>
    <w:qFormat/>
    <w:uiPriority w:val="0"/>
    <w:rPr>
      <w:rFonts w:hint="default" w:ascii="Times New Roman" w:hAnsi="Times New Roman" w:cs="Times New Roman"/>
      <w:color w:val="000000"/>
      <w:sz w:val="22"/>
      <w:szCs w:val="22"/>
      <w:u w:val="none"/>
    </w:rPr>
  </w:style>
  <w:style w:type="character" w:customStyle="1" w:styleId="55">
    <w:name w:val="font191"/>
    <w:basedOn w:val="21"/>
    <w:qFormat/>
    <w:uiPriority w:val="0"/>
    <w:rPr>
      <w:rFonts w:hint="default" w:ascii="Times New Roman" w:hAnsi="Times New Roman" w:cs="Times New Roman"/>
      <w:color w:val="000000"/>
      <w:sz w:val="22"/>
      <w:szCs w:val="22"/>
      <w:u w:val="none"/>
      <w:vertAlign w:val="superscript"/>
    </w:rPr>
  </w:style>
  <w:style w:type="character" w:customStyle="1" w:styleId="56">
    <w:name w:val="font121"/>
    <w:basedOn w:val="21"/>
    <w:qFormat/>
    <w:uiPriority w:val="0"/>
    <w:rPr>
      <w:rFonts w:hint="default" w:ascii="Times New Roman" w:hAnsi="Times New Roman" w:cs="Times New Roman"/>
      <w:color w:val="000000"/>
      <w:sz w:val="22"/>
      <w:szCs w:val="22"/>
      <w:u w:val="none"/>
    </w:rPr>
  </w:style>
  <w:style w:type="character" w:customStyle="1" w:styleId="57">
    <w:name w:val="font11"/>
    <w:basedOn w:val="21"/>
    <w:qFormat/>
    <w:uiPriority w:val="0"/>
    <w:rPr>
      <w:rFonts w:hint="eastAsia" w:ascii="宋体" w:hAnsi="宋体" w:eastAsia="宋体" w:cs="宋体"/>
      <w:color w:val="000000"/>
      <w:sz w:val="22"/>
      <w:szCs w:val="22"/>
      <w:u w:val="none"/>
    </w:rPr>
  </w:style>
  <w:style w:type="character" w:customStyle="1" w:styleId="58">
    <w:name w:val="font181"/>
    <w:basedOn w:val="21"/>
    <w:qFormat/>
    <w:uiPriority w:val="0"/>
    <w:rPr>
      <w:rFonts w:hint="default" w:ascii="Times New Roman" w:hAnsi="Times New Roman" w:cs="Times New Roman"/>
      <w:color w:val="000000"/>
      <w:sz w:val="22"/>
      <w:szCs w:val="22"/>
      <w:u w:val="none"/>
    </w:rPr>
  </w:style>
  <w:style w:type="character" w:customStyle="1" w:styleId="59">
    <w:name w:val="font61"/>
    <w:basedOn w:val="21"/>
    <w:qFormat/>
    <w:uiPriority w:val="0"/>
    <w:rPr>
      <w:rFonts w:hint="default" w:ascii="Times New Roman" w:hAnsi="Times New Roman" w:cs="Times New Roman"/>
      <w:color w:val="000000"/>
      <w:sz w:val="22"/>
      <w:szCs w:val="22"/>
      <w:u w:val="none"/>
    </w:rPr>
  </w:style>
  <w:style w:type="character" w:customStyle="1" w:styleId="60">
    <w:name w:val="font81"/>
    <w:basedOn w:val="21"/>
    <w:qFormat/>
    <w:uiPriority w:val="0"/>
    <w:rPr>
      <w:rFonts w:hint="eastAsia" w:ascii="宋体" w:hAnsi="宋体" w:eastAsia="宋体" w:cs="宋体"/>
      <w:color w:val="000000"/>
      <w:sz w:val="22"/>
      <w:szCs w:val="22"/>
      <w:u w:val="none"/>
    </w:rPr>
  </w:style>
  <w:style w:type="character" w:customStyle="1" w:styleId="61">
    <w:name w:val="font31"/>
    <w:basedOn w:val="21"/>
    <w:qFormat/>
    <w:uiPriority w:val="0"/>
    <w:rPr>
      <w:rFonts w:hint="default" w:ascii="Times New Roman" w:hAnsi="Times New Roman" w:cs="Times New Roman"/>
      <w:color w:val="000000"/>
      <w:sz w:val="22"/>
      <w:szCs w:val="22"/>
      <w:u w:val="none"/>
    </w:rPr>
  </w:style>
  <w:style w:type="character" w:customStyle="1" w:styleId="62">
    <w:name w:val="font141"/>
    <w:basedOn w:val="21"/>
    <w:qFormat/>
    <w:uiPriority w:val="0"/>
    <w:rPr>
      <w:rFonts w:hint="eastAsia" w:ascii="宋体" w:hAnsi="宋体" w:eastAsia="宋体" w:cs="宋体"/>
      <w:color w:val="000000"/>
      <w:sz w:val="22"/>
      <w:szCs w:val="22"/>
      <w:u w:val="none"/>
    </w:rPr>
  </w:style>
  <w:style w:type="character" w:customStyle="1" w:styleId="63">
    <w:name w:val="font101"/>
    <w:basedOn w:val="21"/>
    <w:qFormat/>
    <w:uiPriority w:val="0"/>
    <w:rPr>
      <w:rFonts w:hint="default" w:ascii="Times New Roman" w:hAnsi="Times New Roman" w:cs="Times New Roman"/>
      <w:color w:val="000000"/>
      <w:sz w:val="22"/>
      <w:szCs w:val="22"/>
      <w:u w:val="none"/>
      <w:vertAlign w:val="superscript"/>
    </w:rPr>
  </w:style>
  <w:style w:type="character" w:customStyle="1" w:styleId="64">
    <w:name w:val="font41"/>
    <w:basedOn w:val="21"/>
    <w:qFormat/>
    <w:uiPriority w:val="0"/>
    <w:rPr>
      <w:rFonts w:hint="eastAsia" w:ascii="宋体" w:hAnsi="宋体" w:eastAsia="宋体" w:cs="宋体"/>
      <w:color w:val="0D0D0D"/>
      <w:sz w:val="22"/>
      <w:szCs w:val="22"/>
      <w:u w:val="none"/>
    </w:rPr>
  </w:style>
  <w:style w:type="character" w:customStyle="1" w:styleId="65">
    <w:name w:val="font112"/>
    <w:basedOn w:val="21"/>
    <w:qFormat/>
    <w:uiPriority w:val="0"/>
    <w:rPr>
      <w:rFonts w:hint="default" w:ascii="Times New Roman" w:hAnsi="Times New Roman" w:cs="Times New Roman"/>
      <w:color w:val="0D0D0D"/>
      <w:sz w:val="22"/>
      <w:szCs w:val="22"/>
      <w:u w:val="none"/>
    </w:rPr>
  </w:style>
  <w:style w:type="character" w:customStyle="1" w:styleId="66">
    <w:name w:val="font91"/>
    <w:basedOn w:val="21"/>
    <w:qFormat/>
    <w:uiPriority w:val="0"/>
    <w:rPr>
      <w:rFonts w:hint="default" w:ascii="Times New Roman" w:hAnsi="Times New Roman" w:cs="Times New Roman"/>
      <w:color w:val="000000"/>
      <w:sz w:val="22"/>
      <w:szCs w:val="22"/>
      <w:u w:val="none"/>
      <w:vertAlign w:val="subscript"/>
    </w:rPr>
  </w:style>
  <w:style w:type="character" w:customStyle="1" w:styleId="67">
    <w:name w:val="正文文本缩进 Char"/>
    <w:basedOn w:val="21"/>
    <w:link w:val="8"/>
    <w:qFormat/>
    <w:uiPriority w:val="0"/>
    <w:rPr>
      <w:rFonts w:hint="default" w:ascii="Calibri" w:hAnsi="Calibri" w:eastAsia="宋体" w:cs="Times New Roman"/>
      <w:kern w:val="2"/>
      <w:sz w:val="21"/>
      <w:szCs w:val="22"/>
    </w:rPr>
  </w:style>
  <w:style w:type="character" w:customStyle="1" w:styleId="68">
    <w:name w:val="正文文本首行缩进 2 字符"/>
    <w:basedOn w:val="67"/>
    <w:qFormat/>
    <w:uiPriority w:val="0"/>
    <w:rPr>
      <w:rFonts w:hint="default" w:ascii="Calibri" w:hAnsi="Calibri" w:eastAsia="宋体" w:cs="Times New Roman"/>
      <w:kern w:val="2"/>
      <w:sz w:val="21"/>
      <w:szCs w:val="22"/>
    </w:rPr>
  </w:style>
  <w:style w:type="character" w:customStyle="1" w:styleId="69">
    <w:name w:val="font01"/>
    <w:basedOn w:val="21"/>
    <w:qFormat/>
    <w:uiPriority w:val="0"/>
    <w:rPr>
      <w:rFonts w:hint="default" w:ascii="Times New Roman" w:hAnsi="Times New Roman" w:cs="Times New Roman"/>
      <w:color w:val="000000"/>
      <w:sz w:val="22"/>
      <w:szCs w:val="22"/>
      <w:u w:val="none"/>
    </w:rPr>
  </w:style>
  <w:style w:type="character" w:customStyle="1" w:styleId="70">
    <w:name w:val="font71"/>
    <w:basedOn w:val="21"/>
    <w:qFormat/>
    <w:uiPriority w:val="0"/>
    <w:rPr>
      <w:rFonts w:hint="default" w:ascii="Times New Roman" w:hAnsi="Times New Roman" w:cs="Times New Roman"/>
      <w:color w:val="000000"/>
      <w:sz w:val="21"/>
      <w:szCs w:val="21"/>
      <w:u w:val="none"/>
    </w:rPr>
  </w:style>
  <w:style w:type="character" w:customStyle="1" w:styleId="71">
    <w:name w:val="font21"/>
    <w:basedOn w:val="21"/>
    <w:qFormat/>
    <w:uiPriority w:val="0"/>
    <w:rPr>
      <w:rFonts w:hint="eastAsia" w:ascii="宋体" w:hAnsi="宋体" w:eastAsia="宋体" w:cs="宋体"/>
      <w:color w:val="000000"/>
      <w:sz w:val="21"/>
      <w:szCs w:val="21"/>
      <w:u w:val="none"/>
    </w:rPr>
  </w:style>
  <w:style w:type="character" w:customStyle="1" w:styleId="72">
    <w:name w:val="批注框文本 Char"/>
    <w:basedOn w:val="21"/>
    <w:link w:val="10"/>
    <w:uiPriority w:val="0"/>
    <w:rPr>
      <w:rFonts w:eastAsia="仿宋_GB2312"/>
      <w:kern w:val="2"/>
      <w:sz w:val="18"/>
      <w:szCs w:val="18"/>
    </w:rPr>
  </w:style>
  <w:style w:type="paragraph" w:customStyle="1" w:styleId="73">
    <w:name w:val="表文字"/>
    <w:basedOn w:val="1"/>
    <w:semiHidden/>
    <w:uiPriority w:val="0"/>
    <w:pPr>
      <w:spacing w:line="400" w:lineRule="exact"/>
      <w:jc w:val="center"/>
    </w:pPr>
    <w:rPr>
      <w:rFonts w:ascii="仿宋_GB2312" w:eastAsia="宋体"/>
      <w:color w:val="000000"/>
      <w:kern w:val="1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4344A-42EA-40D8-B890-14C6223DE6F2}">
  <ds:schemaRefs/>
</ds:datastoreItem>
</file>

<file path=docProps/app.xml><?xml version="1.0" encoding="utf-8"?>
<Properties xmlns="http://schemas.openxmlformats.org/officeDocument/2006/extended-properties" xmlns:vt="http://schemas.openxmlformats.org/officeDocument/2006/docPropsVTypes">
  <Template>Normal</Template>
  <Pages>57</Pages>
  <Words>4822</Words>
  <Characters>27489</Characters>
  <Lines>229</Lines>
  <Paragraphs>64</Paragraphs>
  <TotalTime>1188</TotalTime>
  <ScaleCrop>false</ScaleCrop>
  <LinksUpToDate>false</LinksUpToDate>
  <CharactersWithSpaces>32247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2020-09-03T08:15:00Z</dcterms:created>
  <dc:creator>Administrator</dc:creator>
  <cp:lastModifiedBy>浪浪剑心</cp:lastModifiedBy>
  <dcterms:modified xsi:type="dcterms:W3CDTF">2023-08-22T02:23:55Z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1A581E028F4E49B6ADEBE7439AF1715E</vt:lpwstr>
  </property>
  <property fmtid="{D5CDD505-2E9C-101B-9397-08002B2CF9AE}" pid="4" name="KSOSaveFontToCloudKey">
    <vt:lpwstr>367137075_btnclosed</vt:lpwstr>
  </property>
</Properties>
</file>