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D5B1" w14:textId="77777777" w:rsidR="004C04BB" w:rsidRDefault="004C04BB" w:rsidP="004C04BB">
      <w:pPr>
        <w:spacing w:line="500" w:lineRule="exact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附件6</w:t>
      </w:r>
    </w:p>
    <w:p w14:paraId="4801B3CD" w14:textId="77777777" w:rsidR="004C04BB" w:rsidRDefault="004C04BB" w:rsidP="004C04BB">
      <w:pPr>
        <w:spacing w:line="500" w:lineRule="exact"/>
        <w:rPr>
          <w:rFonts w:ascii="仿宋_GB2312" w:hAnsi="仿宋" w:hint="eastAsia"/>
          <w:szCs w:val="32"/>
        </w:rPr>
      </w:pPr>
    </w:p>
    <w:p w14:paraId="045BAAC6" w14:textId="77777777" w:rsidR="004C04BB" w:rsidRPr="003259F9" w:rsidRDefault="004C04BB" w:rsidP="004C04BB">
      <w:pPr>
        <w:spacing w:line="600" w:lineRule="exact"/>
        <w:jc w:val="center"/>
        <w:rPr>
          <w:rFonts w:ascii="方正小标宋简体" w:eastAsia="方正小标宋简体"/>
          <w:spacing w:val="6"/>
          <w:sz w:val="44"/>
          <w:szCs w:val="44"/>
        </w:rPr>
      </w:pPr>
      <w:r w:rsidRPr="003259F9">
        <w:rPr>
          <w:rFonts w:ascii="方正小标宋简体" w:eastAsia="方正小标宋简体"/>
          <w:spacing w:val="6"/>
          <w:sz w:val="44"/>
          <w:szCs w:val="44"/>
        </w:rPr>
        <w:t>2023</w:t>
      </w:r>
      <w:r w:rsidRPr="003259F9">
        <w:rPr>
          <w:rFonts w:ascii="方正小标宋简体" w:eastAsia="方正小标宋简体" w:hint="eastAsia"/>
          <w:spacing w:val="6"/>
          <w:sz w:val="44"/>
          <w:szCs w:val="44"/>
        </w:rPr>
        <w:t>年湖南省高中（中职）起点</w:t>
      </w:r>
    </w:p>
    <w:p w14:paraId="4BB3259A" w14:textId="77777777" w:rsidR="004C04BB" w:rsidRPr="003259F9" w:rsidRDefault="004C04BB" w:rsidP="004C04BB">
      <w:pPr>
        <w:spacing w:line="600" w:lineRule="exact"/>
        <w:jc w:val="center"/>
        <w:rPr>
          <w:rFonts w:ascii="方正小标宋简体" w:eastAsia="方正小标宋简体"/>
          <w:spacing w:val="6"/>
          <w:sz w:val="44"/>
          <w:szCs w:val="44"/>
        </w:rPr>
      </w:pPr>
      <w:r w:rsidRPr="003259F9">
        <w:rPr>
          <w:rFonts w:ascii="方正小标宋简体" w:eastAsia="方正小标宋简体" w:hint="eastAsia"/>
          <w:spacing w:val="6"/>
          <w:sz w:val="44"/>
          <w:szCs w:val="44"/>
        </w:rPr>
        <w:t>本科层次乡村教师公费定向培养计划</w:t>
      </w:r>
    </w:p>
    <w:p w14:paraId="32B65D36" w14:textId="77777777" w:rsidR="004C04BB" w:rsidRPr="003259F9" w:rsidRDefault="004C04BB" w:rsidP="004C04BB">
      <w:pPr>
        <w:spacing w:line="600" w:lineRule="exact"/>
        <w:jc w:val="center"/>
        <w:rPr>
          <w:rFonts w:ascii="方正小标宋简体" w:eastAsia="方正小标宋简体"/>
          <w:spacing w:val="6"/>
          <w:sz w:val="44"/>
          <w:szCs w:val="44"/>
        </w:rPr>
      </w:pPr>
      <w:r w:rsidRPr="003259F9">
        <w:rPr>
          <w:rFonts w:ascii="方正小标宋简体" w:eastAsia="方正小标宋简体" w:hint="eastAsia"/>
          <w:spacing w:val="6"/>
          <w:sz w:val="44"/>
          <w:szCs w:val="44"/>
        </w:rPr>
        <w:t>有关政策说明</w:t>
      </w:r>
    </w:p>
    <w:p w14:paraId="1922B969" w14:textId="77777777" w:rsidR="004C04BB" w:rsidRDefault="004C04BB" w:rsidP="004C04BB">
      <w:pPr>
        <w:spacing w:line="560" w:lineRule="exact"/>
        <w:rPr>
          <w:rFonts w:ascii="Times New Roman" w:hAnsi="Times New Roman"/>
          <w:sz w:val="40"/>
          <w:szCs w:val="40"/>
        </w:rPr>
      </w:pPr>
    </w:p>
    <w:p w14:paraId="642FADFC" w14:textId="77777777" w:rsidR="004C04BB" w:rsidRDefault="004C04BB" w:rsidP="004C04BB">
      <w:pPr>
        <w:spacing w:line="56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一、在本科</w:t>
      </w:r>
      <w:proofErr w:type="gramStart"/>
      <w:r>
        <w:rPr>
          <w:rFonts w:ascii="Times New Roman" w:hAnsi="Times New Roman" w:hint="eastAsia"/>
        </w:rPr>
        <w:t>提前批同一</w:t>
      </w:r>
      <w:proofErr w:type="gramEnd"/>
      <w:r>
        <w:rPr>
          <w:rFonts w:ascii="Times New Roman" w:hAnsi="Times New Roman" w:hint="eastAsia"/>
        </w:rPr>
        <w:t>轮次填报志愿时，报考了我省公费定向师范生（</w:t>
      </w:r>
      <w:proofErr w:type="gramStart"/>
      <w:r>
        <w:rPr>
          <w:rFonts w:ascii="Times New Roman" w:hAnsi="Times New Roman" w:hint="eastAsia"/>
        </w:rPr>
        <w:t>含优师专</w:t>
      </w:r>
      <w:proofErr w:type="gramEnd"/>
      <w:r>
        <w:rPr>
          <w:rFonts w:ascii="Times New Roman" w:hAnsi="Times New Roman" w:hint="eastAsia"/>
        </w:rPr>
        <w:t>项）招生普通类专业的考生，可以兼报本科提前批中采用平行志愿投档的其他非军事院校计划</w:t>
      </w:r>
      <w:r>
        <w:rPr>
          <w:rFonts w:ascii="Times New Roman" w:hAnsi="Times New Roman"/>
        </w:rPr>
        <w:t>[</w:t>
      </w:r>
      <w:r>
        <w:rPr>
          <w:rFonts w:ascii="Times New Roman" w:hAnsi="Times New Roman" w:hint="eastAsia"/>
        </w:rPr>
        <w:t>包括教育部直属师范大学公费师范生（</w:t>
      </w:r>
      <w:proofErr w:type="gramStart"/>
      <w:r>
        <w:rPr>
          <w:rFonts w:ascii="Times New Roman" w:hAnsi="Times New Roman" w:hint="eastAsia"/>
        </w:rPr>
        <w:t>含优师专</w:t>
      </w:r>
      <w:proofErr w:type="gramEnd"/>
      <w:r>
        <w:rPr>
          <w:rFonts w:ascii="Times New Roman" w:hAnsi="Times New Roman" w:hint="eastAsia"/>
        </w:rPr>
        <w:t>项）、全国重点马克思主义学院的马克思主义理论、种子科学与工程和部分高校的小语种专业）</w:t>
      </w:r>
      <w:r>
        <w:rPr>
          <w:rFonts w:ascii="Times New Roman" w:hAnsi="Times New Roman"/>
        </w:rPr>
        <w:t>]</w:t>
      </w:r>
      <w:r>
        <w:rPr>
          <w:rFonts w:ascii="Times New Roman" w:hAnsi="Times New Roman" w:hint="eastAsia"/>
        </w:rPr>
        <w:t>；报考了我省公费定向师范生（</w:t>
      </w:r>
      <w:proofErr w:type="gramStart"/>
      <w:r>
        <w:rPr>
          <w:rFonts w:ascii="Times New Roman" w:hAnsi="Times New Roman" w:hint="eastAsia"/>
        </w:rPr>
        <w:t>含优师专</w:t>
      </w:r>
      <w:proofErr w:type="gramEnd"/>
      <w:r>
        <w:rPr>
          <w:rFonts w:ascii="Times New Roman" w:hAnsi="Times New Roman" w:hint="eastAsia"/>
        </w:rPr>
        <w:t>项）招生体育类专业的考生，可以兼报本科提前批中的教育部直属师范大学公费师范生（</w:t>
      </w:r>
      <w:proofErr w:type="gramStart"/>
      <w:r>
        <w:rPr>
          <w:rFonts w:ascii="Times New Roman" w:hAnsi="Times New Roman" w:hint="eastAsia"/>
        </w:rPr>
        <w:t>含优师专</w:t>
      </w:r>
      <w:proofErr w:type="gramEnd"/>
      <w:r>
        <w:rPr>
          <w:rFonts w:ascii="Times New Roman" w:hAnsi="Times New Roman" w:hint="eastAsia"/>
        </w:rPr>
        <w:t>项）；报考了我省公费定向师范生（</w:t>
      </w:r>
      <w:proofErr w:type="gramStart"/>
      <w:r>
        <w:rPr>
          <w:rFonts w:ascii="Times New Roman" w:hAnsi="Times New Roman" w:hint="eastAsia"/>
        </w:rPr>
        <w:t>含优师专</w:t>
      </w:r>
      <w:proofErr w:type="gramEnd"/>
      <w:r>
        <w:rPr>
          <w:rFonts w:ascii="Times New Roman" w:hAnsi="Times New Roman" w:hint="eastAsia"/>
        </w:rPr>
        <w:t>项）招生艺术类专业的考生，可以兼报本科提前</w:t>
      </w:r>
      <w:proofErr w:type="gramStart"/>
      <w:r>
        <w:rPr>
          <w:rFonts w:ascii="Times New Roman" w:hAnsi="Times New Roman" w:hint="eastAsia"/>
        </w:rPr>
        <w:t>批艺术</w:t>
      </w:r>
      <w:proofErr w:type="gramEnd"/>
      <w:r>
        <w:rPr>
          <w:rFonts w:ascii="Times New Roman" w:hAnsi="Times New Roman" w:hint="eastAsia"/>
        </w:rPr>
        <w:t>类平行组中的院校（专业）。</w:t>
      </w:r>
    </w:p>
    <w:p w14:paraId="14328945" w14:textId="77777777" w:rsidR="004C04BB" w:rsidRDefault="004C04BB" w:rsidP="004C04BB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二、按“分数优先、遵循志愿”原则确定考生专业，优先录取直接志愿考生。直接志愿生源不足时，再从“专业服从”的考生中，由高分到低分进行调剂录取。</w:t>
      </w:r>
    </w:p>
    <w:p w14:paraId="71C8E50B" w14:textId="77777777" w:rsidR="004C04BB" w:rsidRDefault="004C04BB" w:rsidP="004C04BB">
      <w:pPr>
        <w:spacing w:line="560" w:lineRule="exact"/>
        <w:ind w:firstLineChars="200" w:firstLine="640"/>
        <w:rPr>
          <w:rFonts w:ascii="Times New Roman" w:hAnsi="Times New Roman"/>
          <w:spacing w:val="-10"/>
          <w:szCs w:val="32"/>
        </w:rPr>
      </w:pPr>
      <w:r>
        <w:rPr>
          <w:rFonts w:ascii="Times New Roman" w:hAnsi="Times New Roman" w:hint="eastAsia"/>
          <w:szCs w:val="32"/>
        </w:rPr>
        <w:t>三、</w:t>
      </w:r>
      <w:r>
        <w:rPr>
          <w:rFonts w:ascii="Times New Roman" w:hAnsi="Times New Roman" w:hint="eastAsia"/>
          <w:spacing w:val="-10"/>
          <w:szCs w:val="32"/>
        </w:rPr>
        <w:t>公费定向师范生在校学习期间，一律不得转学，原则上不得转专业。</w:t>
      </w:r>
    </w:p>
    <w:p w14:paraId="4307D40D" w14:textId="77777777" w:rsidR="004C04BB" w:rsidRDefault="004C04BB" w:rsidP="004C04BB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四、公费定向师范生应在上岗前取得相应的教师资格，符合相应教师执证上岗条件，否则，按违约情形处理。</w:t>
      </w:r>
    </w:p>
    <w:p w14:paraId="1E5ED6B5" w14:textId="77777777" w:rsidR="004C04BB" w:rsidRDefault="004C04BB" w:rsidP="004C04BB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五、公费定向师范生毕业后，依据招生计划所规定的服</w:t>
      </w:r>
      <w:r>
        <w:rPr>
          <w:rFonts w:ascii="Times New Roman" w:hAnsi="Times New Roman" w:hint="eastAsia"/>
          <w:szCs w:val="32"/>
        </w:rPr>
        <w:lastRenderedPageBreak/>
        <w:t>务地域和服务学校类型任教服务，时间不少于</w:t>
      </w:r>
      <w:r>
        <w:rPr>
          <w:rFonts w:ascii="Times New Roman" w:hAnsi="Times New Roman"/>
          <w:szCs w:val="32"/>
        </w:rPr>
        <w:t>6</w:t>
      </w:r>
      <w:r>
        <w:rPr>
          <w:rFonts w:ascii="Times New Roman" w:hAnsi="Times New Roman" w:hint="eastAsia"/>
          <w:szCs w:val="32"/>
        </w:rPr>
        <w:t>年，其任教岗位和编制由签订协议的市州、县市区按照相关规定落实。</w:t>
      </w:r>
    </w:p>
    <w:p w14:paraId="375FAB61" w14:textId="77777777" w:rsidR="004C04BB" w:rsidRDefault="004C04BB" w:rsidP="004C04BB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六、公费定向师范生在协议规定的服务期内，不得脱产攻读普通硕士学位，但可在职攻读教育硕士专业学位。</w:t>
      </w:r>
    </w:p>
    <w:p w14:paraId="6C3E88F8" w14:textId="77777777" w:rsidR="004C04BB" w:rsidRDefault="004C04BB" w:rsidP="004C04BB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七、公费定向师范生在协议规定的服务期内，经任教学校主管教育行政部门批准，可依据招生计划所规定的服务地域和服务学校类型，在所定向的区域范围内相应学校间流动，或从事教育管理工作。</w:t>
      </w:r>
    </w:p>
    <w:p w14:paraId="36197F0A" w14:textId="77777777" w:rsidR="004C04BB" w:rsidRDefault="004C04BB" w:rsidP="004C04BB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八、未能履行协议的公费定向师范生，按规定退还所享受的公费培养费用并缴纳违约金。</w:t>
      </w:r>
    </w:p>
    <w:p w14:paraId="0B2B80AC" w14:textId="77777777" w:rsidR="004C04BB" w:rsidRPr="003259F9" w:rsidRDefault="004C04BB" w:rsidP="004C04BB">
      <w:pPr>
        <w:spacing w:line="560" w:lineRule="exact"/>
        <w:ind w:firstLineChars="200" w:firstLine="640"/>
        <w:rPr>
          <w:rFonts w:ascii="仿宋_GB2312" w:hAnsi="Times New Roman" w:hint="eastAsia"/>
        </w:rPr>
      </w:pPr>
      <w:r w:rsidRPr="003259F9">
        <w:rPr>
          <w:rFonts w:ascii="仿宋_GB2312" w:hAnsi="Times New Roman" w:hint="eastAsia"/>
          <w:szCs w:val="32"/>
        </w:rPr>
        <w:t>九、市州、县市区教育行政部门负责本行政区域内公费定向师范生的履约管理，建立诚信档案，公布公费定向师范生的违约记录，并将违约情况记入人事档案，负责管理退还的公费培养费用和违约金。12月底前，各市州教育局应汇总本辖区</w:t>
      </w:r>
      <w:proofErr w:type="gramStart"/>
      <w:r w:rsidRPr="003259F9">
        <w:rPr>
          <w:rFonts w:ascii="仿宋_GB2312" w:hAnsi="Times New Roman" w:hint="eastAsia"/>
          <w:szCs w:val="32"/>
        </w:rPr>
        <w:t>内当年</w:t>
      </w:r>
      <w:proofErr w:type="gramEnd"/>
      <w:r w:rsidRPr="003259F9">
        <w:rPr>
          <w:rFonts w:ascii="仿宋_GB2312" w:hAnsi="Times New Roman" w:hint="eastAsia"/>
          <w:szCs w:val="32"/>
        </w:rPr>
        <w:t>已办理违约处理手续的公费定向师范毕业生的有关情况，填写《2023年湖南省公费定向师范毕业生违约处理情况汇总表》（附件18），并报送省教育厅（含电子文档）。</w:t>
      </w:r>
    </w:p>
    <w:p w14:paraId="1EF3F864" w14:textId="77777777" w:rsidR="004C04BB" w:rsidRDefault="004C04BB" w:rsidP="004C04BB">
      <w:pPr>
        <w:spacing w:line="560" w:lineRule="exact"/>
        <w:rPr>
          <w:rFonts w:ascii="Times New Roman" w:hAnsi="Times New Roman"/>
        </w:rPr>
      </w:pPr>
    </w:p>
    <w:p w14:paraId="108CC6C2" w14:textId="77777777" w:rsidR="004C04BB" w:rsidRDefault="004C04BB" w:rsidP="004C04BB">
      <w:pPr>
        <w:spacing w:line="560" w:lineRule="exact"/>
        <w:rPr>
          <w:rFonts w:ascii="黑体" w:eastAsia="黑体" w:hAnsi="黑体"/>
          <w:szCs w:val="32"/>
        </w:rPr>
      </w:pPr>
    </w:p>
    <w:p w14:paraId="03B1BD53" w14:textId="77777777" w:rsidR="004C04BB" w:rsidRDefault="004C04BB" w:rsidP="004C04BB">
      <w:pPr>
        <w:spacing w:line="560" w:lineRule="exact"/>
        <w:rPr>
          <w:rFonts w:ascii="黑体" w:eastAsia="黑体" w:hAnsi="黑体"/>
          <w:szCs w:val="32"/>
        </w:rPr>
      </w:pPr>
    </w:p>
    <w:p w14:paraId="54B8B925" w14:textId="77777777" w:rsidR="004C04BB" w:rsidRDefault="004C04BB" w:rsidP="004C04BB">
      <w:pPr>
        <w:spacing w:line="560" w:lineRule="exact"/>
        <w:rPr>
          <w:rFonts w:ascii="黑体" w:eastAsia="黑体" w:hAnsi="黑体" w:hint="eastAsia"/>
          <w:szCs w:val="32"/>
        </w:rPr>
      </w:pPr>
    </w:p>
    <w:p w14:paraId="4DA3AFC9" w14:textId="77777777" w:rsidR="004C04BB" w:rsidRDefault="004C04BB" w:rsidP="004C04BB">
      <w:pPr>
        <w:spacing w:line="560" w:lineRule="exact"/>
        <w:rPr>
          <w:rFonts w:ascii="黑体" w:eastAsia="黑体" w:hAnsi="黑体" w:hint="eastAsia"/>
          <w:szCs w:val="32"/>
        </w:rPr>
      </w:pPr>
    </w:p>
    <w:p w14:paraId="1B9B88B7" w14:textId="77777777" w:rsidR="004C04BB" w:rsidRDefault="004C04BB" w:rsidP="004C04BB">
      <w:pPr>
        <w:spacing w:line="500" w:lineRule="exact"/>
        <w:rPr>
          <w:rFonts w:ascii="仿宋_GB2312" w:hAnsi="仿宋" w:hint="eastAsia"/>
          <w:szCs w:val="32"/>
        </w:rPr>
      </w:pPr>
    </w:p>
    <w:p w14:paraId="2FBF1931" w14:textId="77777777" w:rsidR="00CE05E4" w:rsidRPr="004C04BB" w:rsidRDefault="00CE05E4"/>
    <w:sectPr w:rsidR="00CE05E4" w:rsidRPr="004C0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C04BB"/>
    <w:rsid w:val="004C04BB"/>
    <w:rsid w:val="00CE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1602F"/>
  <w15:chartTrackingRefBased/>
  <w15:docId w15:val="{63A3A9DE-A05A-45EF-8B1D-1A86ECA3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4BB"/>
    <w:pPr>
      <w:widowControl w:val="0"/>
      <w:jc w:val="both"/>
    </w:pPr>
    <w:rPr>
      <w:rFonts w:ascii="@仿宋_GB2312" w:eastAsia="仿宋_GB2312" w:hAnsi="@仿宋_GB2312" w:cs="@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2023-06-09T05:36:00Z</dcterms:created>
  <dcterms:modified xsi:type="dcterms:W3CDTF">2023-06-09T05:36:00Z</dcterms:modified>
</cp:coreProperties>
</file>