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9192" w14:textId="77777777" w:rsidR="00BC5ED3" w:rsidRPr="002F4DEE" w:rsidRDefault="00BC5ED3" w:rsidP="00BC5ED3">
      <w:pPr>
        <w:widowControl/>
        <w:jc w:val="left"/>
        <w:rPr>
          <w:rFonts w:ascii="楷体_GB2312" w:eastAsia="楷体_GB2312" w:cs="楷体_GB2312"/>
          <w:color w:val="000000"/>
          <w:sz w:val="28"/>
          <w:szCs w:val="28"/>
          <w:shd w:val="clear" w:color="auto" w:fill="FFFFFF"/>
        </w:rPr>
      </w:pPr>
      <w:r w:rsidRPr="002F4DEE">
        <w:rPr>
          <w:rFonts w:ascii="楷体_GB2312" w:eastAsia="楷体_GB2312" w:cs="楷体_GB2312" w:hint="eastAsia"/>
          <w:color w:val="000000"/>
          <w:sz w:val="28"/>
          <w:szCs w:val="28"/>
          <w:shd w:val="clear" w:color="auto" w:fill="FFFFFF"/>
        </w:rPr>
        <w:t>附件</w:t>
      </w:r>
      <w:r w:rsidRPr="002F4DEE">
        <w:rPr>
          <w:rFonts w:ascii="楷体_GB2312" w:eastAsia="楷体_GB2312" w:cs="楷体_GB2312"/>
          <w:color w:val="000000"/>
          <w:sz w:val="28"/>
          <w:szCs w:val="28"/>
          <w:shd w:val="clear" w:color="auto" w:fill="FFFFFF"/>
        </w:rPr>
        <w:t>3</w:t>
      </w:r>
    </w:p>
    <w:p w14:paraId="7AEB76EF" w14:textId="77777777" w:rsidR="00BC5ED3" w:rsidRPr="002F4DEE" w:rsidRDefault="00BC5ED3" w:rsidP="00BC5ED3">
      <w:pPr>
        <w:adjustRightInd w:val="0"/>
        <w:spacing w:line="2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</w:p>
    <w:p w14:paraId="363EBA6B" w14:textId="77777777" w:rsidR="00BC5ED3" w:rsidRPr="002F4DEE" w:rsidRDefault="00BC5ED3" w:rsidP="00BC5ED3">
      <w:pPr>
        <w:spacing w:line="64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资阳区中小学新生入学报名平台</w:t>
      </w:r>
    </w:p>
    <w:p w14:paraId="1F825DA2" w14:textId="77777777" w:rsidR="00BC5ED3" w:rsidRPr="002F4DEE" w:rsidRDefault="00BC5ED3" w:rsidP="00BC5ED3">
      <w:pPr>
        <w:spacing w:line="64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2F4DEE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操</w:t>
      </w:r>
      <w:r w:rsidRPr="002F4DEE"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  <w:r w:rsidRPr="002F4DEE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作</w:t>
      </w:r>
      <w:r w:rsidRPr="002F4DEE"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  <w:r w:rsidRPr="002F4DEE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须</w:t>
      </w:r>
      <w:r w:rsidRPr="002F4DEE"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 </w:t>
      </w:r>
      <w:r w:rsidRPr="002F4DEE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知</w:t>
      </w:r>
    </w:p>
    <w:p w14:paraId="674EE39F" w14:textId="77777777" w:rsidR="00BC5ED3" w:rsidRPr="002F4DEE" w:rsidRDefault="00BC5ED3" w:rsidP="00BC5ED3">
      <w:pPr>
        <w:ind w:firstLineChars="200" w:firstLine="420"/>
        <w:rPr>
          <w:rFonts w:cs="Times New Roman"/>
          <w:color w:val="000000"/>
        </w:rPr>
      </w:pPr>
    </w:p>
    <w:p w14:paraId="587F2772" w14:textId="77777777" w:rsidR="00BC5ED3" w:rsidRPr="002F4DEE" w:rsidRDefault="00BC5ED3" w:rsidP="00BC5ED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资阳区中小学入学报名，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在湖南省中小学新生入学在线报名平台上进行。该平台的资阳入口（以下称“资阳区中小学新生入学报名平台</w:t>
      </w:r>
      <w:r w:rsidRPr="00E675B2">
        <w:rPr>
          <w:rFonts w:ascii="仿宋_GB2312" w:eastAsia="仿宋_GB2312" w:hAnsi="仿宋" w:cs="仿宋_GB2312" w:hint="eastAsia"/>
          <w:color w:val="000000"/>
          <w:sz w:val="32"/>
          <w:szCs w:val="32"/>
        </w:rPr>
        <w:t>”）将于</w:t>
      </w:r>
      <w:r w:rsidRPr="00E675B2">
        <w:rPr>
          <w:rFonts w:ascii="仿宋_GB2312" w:eastAsia="仿宋_GB2312" w:hAnsi="仿宋" w:cs="仿宋_GB2312"/>
          <w:color w:val="000000"/>
          <w:sz w:val="32"/>
          <w:szCs w:val="32"/>
        </w:rPr>
        <w:t>6</w:t>
      </w:r>
      <w:r w:rsidRPr="00E675B2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</w:t>
      </w:r>
      <w:r w:rsidRPr="00E675B2">
        <w:rPr>
          <w:rFonts w:ascii="仿宋_GB2312" w:eastAsia="仿宋_GB2312" w:hAnsi="仿宋" w:cs="仿宋_GB2312" w:hint="eastAsia"/>
          <w:color w:val="000000"/>
          <w:sz w:val="32"/>
          <w:szCs w:val="32"/>
        </w:rPr>
        <w:t>日正式上线，为资阳区中小学新生家长提供在线报名服务，在</w:t>
      </w:r>
      <w:r w:rsidRPr="00E675B2">
        <w:rPr>
          <w:rFonts w:ascii="仿宋_GB2312" w:eastAsia="仿宋_GB2312" w:hAnsi="仿宋" w:cs="仿宋_GB2312"/>
          <w:color w:val="000000"/>
          <w:sz w:val="32"/>
          <w:szCs w:val="32"/>
        </w:rPr>
        <w:t>6</w:t>
      </w:r>
      <w:r w:rsidRPr="00E675B2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</w:t>
      </w:r>
      <w:r w:rsidRPr="00E675B2">
        <w:rPr>
          <w:rFonts w:ascii="仿宋_GB2312" w:eastAsia="仿宋_GB2312" w:hAnsi="仿宋" w:cs="仿宋_GB2312" w:hint="eastAsia"/>
          <w:color w:val="000000"/>
          <w:sz w:val="32"/>
          <w:szCs w:val="32"/>
        </w:rPr>
        <w:t>日－</w:t>
      </w:r>
      <w:r w:rsidRPr="00E675B2">
        <w:rPr>
          <w:rFonts w:ascii="仿宋_GB2312" w:eastAsia="仿宋_GB2312" w:hAnsi="仿宋" w:cs="仿宋_GB2312"/>
          <w:color w:val="000000"/>
          <w:sz w:val="32"/>
          <w:szCs w:val="32"/>
        </w:rPr>
        <w:t>6</w:t>
      </w:r>
      <w:r w:rsidRPr="00E675B2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E675B2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9</w:t>
      </w:r>
      <w:r w:rsidRPr="00E675B2">
        <w:rPr>
          <w:rFonts w:ascii="仿宋_GB2312" w:eastAsia="仿宋_GB2312" w:hAnsi="仿宋" w:cs="仿宋_GB2312" w:hint="eastAsia"/>
          <w:color w:val="000000"/>
          <w:sz w:val="32"/>
          <w:szCs w:val="32"/>
        </w:rPr>
        <w:t>日期间，学生家长或监护人可通过平台为学生在城区学校申报学位。在</w:t>
      </w:r>
      <w:r w:rsidRPr="00E675B2">
        <w:rPr>
          <w:rFonts w:ascii="仿宋_GB2312" w:eastAsia="仿宋_GB2312" w:hAnsi="仿宋" w:cs="仿宋_GB2312"/>
          <w:color w:val="000000"/>
          <w:sz w:val="32"/>
          <w:szCs w:val="32"/>
        </w:rPr>
        <w:t>6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20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日－</w:t>
      </w: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6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9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日期间，学生家长或监护人可通过平台为学生在城区学校申报学位。家长可通过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湖南政务服务网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（</w:t>
      </w:r>
      <w:r w:rsidRPr="000829D4">
        <w:rPr>
          <w:rFonts w:ascii="仿宋_GB2312" w:eastAsia="仿宋_GB2312" w:hAnsi="仿宋" w:cs="仿宋_GB2312"/>
          <w:color w:val="000000"/>
          <w:sz w:val="32"/>
          <w:szCs w:val="32"/>
        </w:rPr>
        <w:t>http://zwfw-new.hunan.gov.cn/hnzwfw/1/index.htm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一件事一次</w:t>
      </w:r>
      <w:proofErr w:type="gramStart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办服务</w:t>
      </w:r>
      <w:proofErr w:type="gramEnd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专区湖南省中小学在线报名统一入口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或直接扫资阳教育新生报名的小程序二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维码进入</w:t>
      </w:r>
      <w:proofErr w:type="gramEnd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资阳区中小学新生入学报名平台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。家长须保证所提交报名资料的真实性、准确性，如因家长虚假填写相关信息造成子女无法就读所报学校，其后果由家长自行承担。</w:t>
      </w:r>
    </w:p>
    <w:p w14:paraId="211934B4" w14:textId="3F965728" w:rsidR="00BC5ED3" w:rsidRPr="002F4DEE" w:rsidRDefault="00BC5ED3" w:rsidP="00BC5ED3">
      <w:pPr>
        <w:adjustRightInd w:val="0"/>
        <w:snapToGrid w:val="0"/>
        <w:spacing w:line="580" w:lineRule="exact"/>
        <w:ind w:firstLineChars="200" w:firstLine="42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29531F" wp14:editId="451B3393">
            <wp:simplePos x="0" y="0"/>
            <wp:positionH relativeFrom="column">
              <wp:posOffset>105410</wp:posOffset>
            </wp:positionH>
            <wp:positionV relativeFrom="paragraph">
              <wp:posOffset>436245</wp:posOffset>
            </wp:positionV>
            <wp:extent cx="1264285" cy="1236980"/>
            <wp:effectExtent l="0" t="0" r="0" b="0"/>
            <wp:wrapSquare wrapText="bothSides"/>
            <wp:docPr id="1939741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DEE">
        <w:rPr>
          <w:rFonts w:ascii="黑体" w:eastAsia="黑体" w:hAnsi="黑体" w:cs="黑体" w:hint="eastAsia"/>
          <w:color w:val="000000"/>
          <w:sz w:val="32"/>
          <w:szCs w:val="32"/>
        </w:rPr>
        <w:t>操作流程如下：</w:t>
      </w:r>
    </w:p>
    <w:p w14:paraId="5F07B3A2" w14:textId="77777777" w:rsidR="00BC5ED3" w:rsidRPr="002F4DEE" w:rsidRDefault="00BC5ED3" w:rsidP="00BC5E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1.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家长扫左边二维码，进入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资阳区中小学新生入学报名平台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，点击首页的“登录”，登录会弹出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获取微信绑定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的手机号，点击允许，即可完成注册及登录。下次登录不需要输入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帐号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（小程序登录不需要登录密码），通过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微信点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开小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程序就对应到自己的个人界面。</w:t>
      </w:r>
    </w:p>
    <w:p w14:paraId="45832A50" w14:textId="77777777" w:rsidR="00BC5ED3" w:rsidRPr="002F4DEE" w:rsidRDefault="00BC5ED3" w:rsidP="00BC5E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2.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登录系统后，请家长仔细阅读资阳区</w:t>
      </w: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2023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年城区中小学招生政策，操作方面有疑问可查看家长操作手册或常见问题集，熟悉政策及平台操作步骤后再进行报名。</w:t>
      </w:r>
    </w:p>
    <w:p w14:paraId="53FB1E72" w14:textId="77777777" w:rsidR="00BC5ED3" w:rsidRPr="002F4DEE" w:rsidRDefault="00BC5ED3" w:rsidP="00BC5E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3.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首先进入“个人中心”在“我的孩子”中添加孩子，如有多个孩子同时报名，直接再次点击添加即可。</w:t>
      </w:r>
    </w:p>
    <w:p w14:paraId="63CBDE05" w14:textId="77777777" w:rsidR="00BC5ED3" w:rsidRPr="002F4DEE" w:rsidRDefault="00BC5ED3" w:rsidP="00BC5E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4.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按类选择“小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一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新生报名入口”或“初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一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新生报名入口”，进入后选择对应的“公办学校报名通道”或“民办学校报名通道”进行报名。</w:t>
      </w:r>
    </w:p>
    <w:p w14:paraId="1F114128" w14:textId="77777777" w:rsidR="00BC5ED3" w:rsidRPr="002F4DEE" w:rsidRDefault="00BC5ED3" w:rsidP="00BC5E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5.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选择“公办学校报名通道”后，先根据实际情况如实选择报名类别（录取批次），滑到页面底部，点击“资料提交”后，进入“资料填报”页面，依次点击“学生基本信息”“监护人信息”“住房信息”“资料上传”，填报学生报名相关信息，上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传学生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报名相关资料，包括户籍证明、房产证明、入住证明，点击“保存”后，可点选“下一步”进入“报读学校填写”，点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选报读学校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并确认选择，提示预览你填报的相关信息，若信息、资料无误，点击“提交资料”后完成该生的报名，若发现信息、资料有误，可即时选择退回并修改，也可在“提交资料”后再次从首页进入作撤回修改，在报名时间结束前共有</w:t>
      </w: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次撤回修改的机会。</w:t>
      </w:r>
    </w:p>
    <w:p w14:paraId="73FD5F1D" w14:textId="77777777" w:rsidR="00BC5ED3" w:rsidRPr="00183183" w:rsidRDefault="00BC5ED3" w:rsidP="00BC5ED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Times New Roman"/>
          <w:b/>
          <w:color w:val="000000"/>
          <w:sz w:val="32"/>
          <w:szCs w:val="32"/>
        </w:rPr>
      </w:pPr>
      <w:r w:rsidRPr="00183183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报名公办学校后，若所报公办学校报名人数超过学校招生计划，经超员摇号</w:t>
      </w:r>
      <w:proofErr w:type="gramStart"/>
      <w:r w:rsidRPr="00183183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后未摇中</w:t>
      </w:r>
      <w:proofErr w:type="gramEnd"/>
      <w:r w:rsidRPr="00183183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的，由学校退回报名申请后，家长再进报名平台另报</w:t>
      </w:r>
      <w:proofErr w:type="gramStart"/>
      <w:r w:rsidRPr="00183183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一</w:t>
      </w:r>
      <w:proofErr w:type="gramEnd"/>
      <w:r w:rsidRPr="00183183">
        <w:rPr>
          <w:rFonts w:ascii="仿宋_GB2312" w:eastAsia="仿宋_GB2312" w:hAnsi="仿宋" w:cs="仿宋_GB2312" w:hint="eastAsia"/>
          <w:b/>
          <w:color w:val="000000"/>
          <w:sz w:val="32"/>
          <w:szCs w:val="32"/>
        </w:rPr>
        <w:t>所有学位的公办学校。</w:t>
      </w:r>
    </w:p>
    <w:p w14:paraId="5A36D598" w14:textId="77777777" w:rsidR="00BC5ED3" w:rsidRPr="002F4DEE" w:rsidRDefault="00BC5ED3" w:rsidP="00BC5E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若选择“民办学校报名通道”，进入“资料填报”页面，依次点击“学生基本信息”“监护人信息”“住房信息”“资料上传”，填报学生报名相关信息，上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传学生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报名相关资料，包括户籍证明、房产证明、入住证明，点击“保存”后，可点选“下一步”进入“报读学校填写”，点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选报读学校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并确认选择，提示预览你填报的相关信息，若信息、资料无误，点击“提交资料”后完成该生的报名，若发现信息、资料有误，可点击手机屏幕左上角的返回键，即时退回并修改，也可在“提交资料”后再次从首页进入作撤回修改，在报名时间结束前共有</w:t>
      </w: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次撤回修改的机会。一旦进入学校审核阶段，资料网上初步审核通过，则无法使用自主撤销的功能。</w:t>
      </w:r>
    </w:p>
    <w:p w14:paraId="04ACFE04" w14:textId="77777777" w:rsidR="00BC5ED3" w:rsidRPr="002F4DEE" w:rsidRDefault="00BC5ED3" w:rsidP="00BC5E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报名民办学校后，若民办学校报名人数超过学校招生计划，经超员摇号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后未摇中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的，由学校退回报名申请后，家长再进报名平台重报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一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所有学位的公办学校。</w:t>
      </w:r>
    </w:p>
    <w:p w14:paraId="7B99921A" w14:textId="77777777" w:rsidR="00BC5ED3" w:rsidRPr="002F4DEE" w:rsidRDefault="00BC5ED3" w:rsidP="00BC5E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2F4DEE">
        <w:rPr>
          <w:rFonts w:ascii="仿宋_GB2312" w:eastAsia="仿宋_GB2312" w:hAnsi="仿宋" w:cs="仿宋_GB2312"/>
          <w:color w:val="000000"/>
          <w:sz w:val="32"/>
          <w:szCs w:val="32"/>
        </w:rPr>
        <w:t>6.</w:t>
      </w:r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报名资料提交后，学校对资料进行初审，初审未通过的以短信方式发送到家长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绑定微信的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手机号，告之家长补充资料或重新申报学校；学校初审通过后，区教育局再进行核查，核查结果也会以短信方式发送到家长</w:t>
      </w:r>
      <w:proofErr w:type="gramStart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绑定微信的</w:t>
      </w:r>
      <w:proofErr w:type="gramEnd"/>
      <w:r w:rsidRPr="002F4DEE">
        <w:rPr>
          <w:rFonts w:ascii="仿宋_GB2312" w:eastAsia="仿宋_GB2312" w:hAnsi="仿宋" w:cs="仿宋_GB2312" w:hint="eastAsia"/>
          <w:color w:val="000000"/>
          <w:sz w:val="32"/>
          <w:szCs w:val="32"/>
        </w:rPr>
        <w:t>手机号。</w:t>
      </w:r>
    </w:p>
    <w:p w14:paraId="4D86E78E" w14:textId="77777777" w:rsidR="00BC5ED3" w:rsidRPr="002F4DEE" w:rsidRDefault="00BC5ED3" w:rsidP="00BC5E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14:paraId="040E1832" w14:textId="77777777" w:rsidR="00CE05E4" w:rsidRPr="00BC5ED3" w:rsidRDefault="00CE05E4"/>
    <w:sectPr w:rsidR="00CE05E4" w:rsidRPr="00BC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5ED3"/>
    <w:rsid w:val="00BC5ED3"/>
    <w:rsid w:val="00C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9D72"/>
  <w15:chartTrackingRefBased/>
  <w15:docId w15:val="{98D08ECA-8B33-464D-906D-50BDBAA9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D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2023-06-08T03:24:00Z</dcterms:created>
  <dcterms:modified xsi:type="dcterms:W3CDTF">2023-06-08T03:24:00Z</dcterms:modified>
</cp:coreProperties>
</file>