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2022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年度部门整体支出绩效评价基础数据表</w:t>
      </w:r>
    </w:p>
    <w:tbl>
      <w:tblPr>
        <w:tblW w:w="8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9"/>
        <w:gridCol w:w="1201"/>
        <w:gridCol w:w="891"/>
        <w:gridCol w:w="1315"/>
        <w:gridCol w:w="956"/>
        <w:gridCol w:w="992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财政供养人员情况（人）</w:t>
            </w:r>
          </w:p>
        </w:tc>
        <w:tc>
          <w:tcPr>
            <w:tcW w:w="20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编制数</w:t>
            </w:r>
          </w:p>
        </w:tc>
        <w:tc>
          <w:tcPr>
            <w:tcW w:w="22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2022年实际在职人数</w:t>
            </w:r>
          </w:p>
        </w:tc>
        <w:tc>
          <w:tcPr>
            <w:tcW w:w="17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　37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　37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　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经费控制情况（万元）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2021年决算数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2022年预算数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2022年决算数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支出总额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1742.83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503.28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1219.58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基本支出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801.86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441.28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808.32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 其中：公用经费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205.37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67.93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项目支出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940.97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411.25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其中：1、运行维护经费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 2、粮仓建设资金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   3、扶贫开支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 4、粮食财务挂账利息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514.85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5、灾后救助资金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6、超标粮补贴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150.12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7、立项争资经费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8、专项债前期经费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9、“9.7”专班经费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10、沟渠清淤项目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三公经费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sz w:val="15"/>
                <w:szCs w:val="15"/>
                <w:bdr w:val="none" w:color="auto" w:sz="0" w:space="0"/>
              </w:rPr>
              <w:t>1、公务用车购置和维护经费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    其中：公车购置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    公车运行维护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 2、出国经费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　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　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 3、公务接待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0.84　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　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0.19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政府采购金额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——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楼堂馆所控制情况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（2021年完工项目）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批复规模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㎡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实际规模（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㎡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规模控制率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预算投资（万元）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实际投资（万元）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投资概算控制率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厉行节约保障措施</w:t>
            </w:r>
          </w:p>
        </w:tc>
        <w:tc>
          <w:tcPr>
            <w:tcW w:w="6121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832B93-EF25-4D61-ABA6-FDD897DFDB5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625F7BA-AB05-4959-A3F8-5170320DC7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00000000"/>
    <w:rsid w:val="2DF6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2023-05-30T02:51:53Z</dcterms:created>
  <dc:creator>Administrator</dc:creator>
  <cp:lastModifiedBy>浪浪剑心</cp:lastModifiedBy>
  <dcterms:modified xsi:type="dcterms:W3CDTF">2023-05-30T02:57:33Z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E8CFF27F871B4832B21925E6E6A96D05</vt:lpwstr>
  </property>
</Properties>
</file>