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0" w:beforeAutospacing="0" w:after="2" w:afterAutospacing="0"/>
        <w:jc w:val="center"/>
      </w:pPr>
      <w:r>
        <w:rPr>
          <w:rStyle w:val="12"/>
          <w:rFonts w:ascii="宋体" w:hAnsi="宋体" w:eastAsia="宋体" w:cs="宋体"/>
          <w:color w:val="000000"/>
          <w:sz w:val="48"/>
          <w:szCs w:val="48"/>
        </w:rPr>
        <w:t>益阳市资阳区人民代表大会常务委员会2021年部门预算公开说明</w:t>
      </w:r>
      <w:r>
        <w:rPr>
          <w:color w:val="000000"/>
        </w:rPr>
        <w:t xml:space="preserve"> </w:t>
      </w:r>
    </w:p>
    <w:p>
      <w:pPr>
        <w:spacing w:before="0" w:beforeAutospacing="0" w:after="2" w:afterAutospacing="0"/>
        <w:jc w:val="center"/>
      </w:pPr>
      <w:r>
        <w:rPr>
          <w:rFonts w:ascii="宋体" w:hAnsi="宋体" w:eastAsia="宋体" w:cs="宋体"/>
          <w:color w:val="000000"/>
          <w:sz w:val="32"/>
          <w:szCs w:val="32"/>
        </w:rPr>
        <w:t> </w:t>
      </w:r>
      <w:r>
        <w:rPr>
          <w:color w:val="000000"/>
        </w:rPr>
        <w:t xml:space="preserve"> </w:t>
      </w:r>
    </w:p>
    <w:p>
      <w:pPr>
        <w:spacing w:before="0" w:beforeAutospacing="0" w:after="2" w:afterAutospacing="0"/>
        <w:jc w:val="center"/>
      </w:pPr>
      <w:r>
        <w:rPr>
          <w:rStyle w:val="12"/>
          <w:rFonts w:ascii="宋体" w:hAnsi="宋体" w:eastAsia="宋体" w:cs="宋体"/>
          <w:color w:val="000000"/>
          <w:sz w:val="36"/>
          <w:szCs w:val="36"/>
        </w:rPr>
        <w:t>目 录</w:t>
      </w:r>
      <w:r>
        <w:rPr>
          <w:color w:val="000000"/>
        </w:rPr>
        <w:t xml:space="preserve"> </w:t>
      </w:r>
    </w:p>
    <w:p>
      <w:pPr>
        <w:spacing w:before="0" w:beforeAutospacing="0" w:after="2" w:afterAutospacing="0"/>
        <w:ind w:left="0" w:firstLine="643"/>
      </w:pPr>
      <w:r>
        <w:rPr>
          <w:rFonts w:ascii="宋体" w:hAnsi="宋体" w:eastAsia="宋体" w:cs="宋体"/>
          <w:b/>
          <w:bCs/>
          <w:color w:val="000000"/>
          <w:sz w:val="32"/>
          <w:szCs w:val="32"/>
        </w:rPr>
        <w:t>第一部分 2021年部门预算说明</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一、部门预算说明</w:t>
      </w:r>
    </w:p>
    <w:p>
      <w:pPr>
        <w:spacing w:before="0" w:beforeAutospacing="0" w:after="2" w:afterAutospacing="0"/>
        <w:ind w:left="0" w:firstLine="643"/>
      </w:pPr>
      <w:r>
        <w:rPr>
          <w:rFonts w:ascii="宋体" w:hAnsi="宋体" w:eastAsia="宋体" w:cs="宋体"/>
          <w:color w:val="000000"/>
          <w:sz w:val="32"/>
          <w:szCs w:val="32"/>
        </w:rPr>
        <w:t>（一）职能职责</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（二）机构设置</w:t>
      </w:r>
    </w:p>
    <w:p>
      <w:pPr>
        <w:spacing w:before="0" w:beforeAutospacing="0" w:after="2" w:afterAutospacing="0"/>
        <w:ind w:left="0" w:firstLine="643"/>
      </w:pPr>
      <w:r>
        <w:rPr>
          <w:rFonts w:ascii="宋体" w:hAnsi="宋体" w:eastAsia="宋体" w:cs="宋体"/>
          <w:color w:val="000000"/>
          <w:sz w:val="32"/>
          <w:szCs w:val="32"/>
        </w:rPr>
        <w:t>二、部门预算单位构成</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三、部门预算收支概况</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（一）收入预算</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（二）支出预算</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四、一般公共预算拨款支出预算</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（一）基本支出</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（二）项目支出</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五、机关运行及三公经费情况说明</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（一）机关运行经费情况</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（二）“三公”经费情况</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六、国有资产及政府采购情况说明</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（一）国有资产占用情况</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（二）政府采购安排情况</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七、政府性基金预算支出</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八、预算绩效情况及其他重要事项</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九、名词解释</w:t>
      </w:r>
    </w:p>
    <w:p>
      <w:pPr>
        <w:spacing w:before="0" w:beforeAutospacing="0" w:after="2" w:afterAutospacing="0"/>
        <w:ind w:left="0" w:firstLine="643"/>
      </w:pPr>
      <w:r>
        <w:rPr>
          <w:rFonts w:ascii="宋体" w:hAnsi="宋体" w:eastAsia="宋体" w:cs="宋体"/>
          <w:b/>
          <w:bCs/>
          <w:color w:val="000000"/>
          <w:sz w:val="32"/>
          <w:szCs w:val="32"/>
        </w:rPr>
        <w:t>第二部分</w:t>
      </w:r>
      <w:r>
        <w:rPr>
          <w:b/>
          <w:bCs/>
          <w:color w:val="000000"/>
        </w:rPr>
        <w:t xml:space="preserve"> </w:t>
      </w:r>
      <w:r>
        <w:rPr>
          <w:rFonts w:ascii="宋体" w:hAnsi="宋体" w:eastAsia="宋体" w:cs="宋体"/>
          <w:b/>
          <w:bCs/>
          <w:color w:val="000000"/>
          <w:sz w:val="32"/>
          <w:szCs w:val="32"/>
        </w:rPr>
        <w:t>2021年部门预算表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1、收支总表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2、收入总表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3、支出总表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4、分类汇总-部门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5、分类汇总-政府</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6、财政拨款收支总表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7、一般公共预算分类汇总-部门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8、一般公共预算分类汇总-政府</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9、政府性基金分类汇总-部门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10、政府基金分类汇总-政府</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11、一般公共预算基本支出预算表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12、工资福利和对个人-部门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13、工资福利和对个人-政府</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14、商品服务-部门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15、商品服务-政府</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16、工资福利和对个人（一般公共预算）-部门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17、工资福利和对个人（一般公共预算）-政府</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18、商品服务（一般公共预算）-部门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19、商品服务（一般公共预算）-政府</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20、三公</w:t>
      </w:r>
      <w:r>
        <w:rPr>
          <w:color w:val="000000"/>
        </w:rPr>
        <w:t xml:space="preserve"> </w:t>
      </w:r>
    </w:p>
    <w:p>
      <w:pPr>
        <w:spacing w:before="0" w:beforeAutospacing="0" w:after="2" w:afterAutospacing="0"/>
        <w:ind w:left="0" w:firstLine="643"/>
      </w:pPr>
      <w:r>
        <w:rPr>
          <w:rStyle w:val="12"/>
          <w:rFonts w:ascii="宋体" w:hAnsi="宋体" w:eastAsia="宋体" w:cs="宋体"/>
          <w:color w:val="000000"/>
          <w:sz w:val="28"/>
          <w:szCs w:val="28"/>
        </w:rPr>
        <w:t>注：以上部门预算报表中，空表表示本部门无相关收支情况。</w:t>
      </w:r>
      <w:r>
        <w:rPr>
          <w:color w:val="000000"/>
        </w:rPr>
        <w:t xml:space="preserve"> </w:t>
      </w:r>
    </w:p>
    <w:p>
      <w:pPr>
        <w:spacing w:before="0" w:beforeAutospacing="0" w:after="2" w:afterAutospacing="0"/>
        <w:ind w:left="0" w:firstLine="643"/>
      </w:pPr>
    </w:p>
    <w:p>
      <w:pPr>
        <w:spacing w:before="0" w:beforeAutospacing="0" w:after="2" w:afterAutospacing="0"/>
        <w:ind w:left="0" w:firstLine="643"/>
      </w:pPr>
    </w:p>
    <w:p>
      <w:pPr>
        <w:spacing w:before="0" w:beforeAutospacing="0" w:after="2" w:afterAutospacing="0"/>
        <w:ind w:left="0" w:firstLine="643"/>
      </w:pPr>
    </w:p>
    <w:p>
      <w:pPr>
        <w:spacing w:before="0" w:beforeAutospacing="0" w:after="2" w:afterAutospacing="0"/>
        <w:ind w:left="0" w:firstLine="643"/>
      </w:pPr>
    </w:p>
    <w:p>
      <w:pPr>
        <w:spacing w:before="0" w:beforeAutospacing="0" w:after="2" w:afterAutospacing="0"/>
        <w:jc w:val="center"/>
      </w:pPr>
      <w:r>
        <w:rPr>
          <w:rStyle w:val="12"/>
          <w:rFonts w:ascii="宋体" w:hAnsi="宋体" w:eastAsia="宋体" w:cs="宋体"/>
          <w:color w:val="000000"/>
          <w:sz w:val="40"/>
          <w:szCs w:val="40"/>
        </w:rPr>
        <w:t>第一部分 2021年部门预算说明</w:t>
      </w:r>
      <w:r>
        <w:rPr>
          <w:color w:val="000000"/>
        </w:rPr>
        <w:t xml:space="preserve"> </w:t>
      </w:r>
    </w:p>
    <w:p>
      <w:pPr>
        <w:spacing w:before="0" w:beforeAutospacing="0" w:after="2" w:afterAutospacing="0"/>
      </w:pPr>
      <w:r>
        <w:rPr>
          <w:rFonts w:ascii="宋体" w:hAnsi="宋体" w:eastAsia="宋体" w:cs="宋体"/>
          <w:b/>
          <w:bCs/>
          <w:color w:val="000000"/>
          <w:sz w:val="32"/>
          <w:szCs w:val="32"/>
        </w:rPr>
        <w:t> </w:t>
      </w:r>
      <w:r>
        <w:rPr>
          <w:color w:val="000000"/>
        </w:rPr>
        <w:t xml:space="preserve"> </w:t>
      </w:r>
    </w:p>
    <w:p>
      <w:pPr>
        <w:spacing w:before="0" w:beforeAutospacing="0" w:after="2" w:afterAutospacing="0"/>
        <w:ind w:left="0" w:firstLine="627"/>
      </w:pPr>
      <w:r>
        <w:rPr>
          <w:rStyle w:val="12"/>
          <w:rFonts w:ascii="宋体" w:hAnsi="宋体" w:eastAsia="宋体" w:cs="宋体"/>
          <w:color w:val="000000"/>
          <w:sz w:val="32"/>
          <w:szCs w:val="32"/>
        </w:rPr>
        <w:t>一、部门基本概况</w:t>
      </w:r>
      <w:r>
        <w:rPr>
          <w:color w:val="000000"/>
        </w:rPr>
        <w:t xml:space="preserve"> </w:t>
      </w:r>
    </w:p>
    <w:p>
      <w:pPr>
        <w:spacing w:before="0" w:beforeAutospacing="0" w:after="2" w:afterAutospacing="0"/>
        <w:ind w:left="0" w:firstLine="630"/>
      </w:pPr>
      <w:r>
        <w:rPr>
          <w:rFonts w:ascii="宋体" w:hAnsi="宋体" w:eastAsia="宋体" w:cs="宋体"/>
          <w:b/>
          <w:bCs/>
          <w:color w:val="000000"/>
          <w:sz w:val="32"/>
          <w:szCs w:val="32"/>
        </w:rPr>
        <w:t>（一）职能职责</w:t>
      </w:r>
      <w:r>
        <w:rPr>
          <w:color w:val="000000"/>
        </w:rPr>
        <w:t xml:space="preserve"> </w:t>
      </w:r>
    </w:p>
    <w:p>
      <w:pPr>
        <w:spacing w:before="0" w:beforeAutospacing="0" w:after="2" w:afterAutospacing="0"/>
        <w:ind w:left="0" w:firstLine="630"/>
      </w:pPr>
      <w:r>
        <w:rPr>
          <w:rFonts w:ascii="宋体" w:hAnsi="宋体" w:eastAsia="宋体" w:cs="宋体"/>
          <w:color w:val="000000"/>
          <w:sz w:val="32"/>
          <w:szCs w:val="32"/>
        </w:rPr>
        <w:t>1、在本区行政区域内，保证宪法、法律、行政法规和全国、省、市人民代表大会及其常委会决议的遵守和执行。</w:t>
      </w:r>
      <w:r>
        <w:rPr>
          <w:rFonts w:hint="default" w:ascii="Times New Roman" w:hAnsi="Times New Roman" w:cs="Times New Roman"/>
          <w:color w:val="000000"/>
          <w:sz w:val="32"/>
          <w:szCs w:val="32"/>
        </w:rPr>
        <w:t xml:space="preserve"> </w:t>
      </w:r>
    </w:p>
    <w:p>
      <w:pPr>
        <w:spacing w:before="0" w:beforeAutospacing="0" w:after="2" w:afterAutospacing="0"/>
        <w:ind w:left="0" w:firstLine="630"/>
      </w:pPr>
      <w:r>
        <w:rPr>
          <w:rFonts w:ascii="宋体" w:hAnsi="宋体" w:eastAsia="宋体" w:cs="宋体"/>
          <w:color w:val="000000"/>
          <w:sz w:val="32"/>
          <w:szCs w:val="32"/>
        </w:rPr>
        <w:t>2、主持区人民代表大会代表的选举。</w:t>
      </w:r>
      <w:r>
        <w:rPr>
          <w:rFonts w:hint="default" w:ascii="Times New Roman" w:hAnsi="Times New Roman" w:cs="Times New Roman"/>
          <w:color w:val="000000"/>
          <w:sz w:val="32"/>
          <w:szCs w:val="32"/>
        </w:rPr>
        <w:t xml:space="preserve"> </w:t>
      </w:r>
    </w:p>
    <w:p>
      <w:pPr>
        <w:spacing w:before="0" w:beforeAutospacing="0" w:after="2" w:afterAutospacing="0"/>
        <w:ind w:left="0" w:firstLine="630"/>
      </w:pPr>
      <w:r>
        <w:rPr>
          <w:rFonts w:ascii="宋体" w:hAnsi="宋体" w:eastAsia="宋体" w:cs="宋体"/>
          <w:color w:val="000000"/>
          <w:sz w:val="32"/>
          <w:szCs w:val="32"/>
        </w:rPr>
        <w:t>3、在区人民代表大会闭会期间，补选市人民代表大会出缺的代表和罢免个别由区人民代表大会选举产生的市人民代表大会代表。</w:t>
      </w:r>
      <w:r>
        <w:rPr>
          <w:rFonts w:hint="default" w:ascii="Times New Roman" w:hAnsi="Times New Roman" w:cs="Times New Roman"/>
          <w:color w:val="000000"/>
          <w:sz w:val="32"/>
          <w:szCs w:val="32"/>
        </w:rPr>
        <w:t xml:space="preserve"> </w:t>
      </w:r>
    </w:p>
    <w:p>
      <w:pPr>
        <w:spacing w:before="0" w:beforeAutospacing="0" w:after="2" w:afterAutospacing="0"/>
        <w:ind w:left="0" w:firstLine="630"/>
      </w:pPr>
      <w:r>
        <w:rPr>
          <w:rFonts w:ascii="宋体" w:hAnsi="宋体" w:eastAsia="宋体" w:cs="宋体"/>
          <w:color w:val="000000"/>
          <w:sz w:val="32"/>
          <w:szCs w:val="32"/>
        </w:rPr>
        <w:t>4、按照法律规定，定期召集区人民代表大会会议。</w:t>
      </w:r>
      <w:r>
        <w:rPr>
          <w:rFonts w:hint="default" w:ascii="Times New Roman" w:hAnsi="Times New Roman" w:cs="Times New Roman"/>
          <w:color w:val="000000"/>
          <w:sz w:val="32"/>
          <w:szCs w:val="32"/>
        </w:rPr>
        <w:t xml:space="preserve"> </w:t>
      </w:r>
    </w:p>
    <w:p>
      <w:pPr>
        <w:spacing w:before="0" w:beforeAutospacing="0" w:after="2" w:afterAutospacing="0"/>
        <w:ind w:left="0" w:firstLine="630"/>
      </w:pPr>
      <w:r>
        <w:rPr>
          <w:rFonts w:ascii="宋体" w:hAnsi="宋体" w:eastAsia="宋体" w:cs="宋体"/>
          <w:color w:val="000000"/>
          <w:sz w:val="32"/>
          <w:szCs w:val="32"/>
        </w:rPr>
        <w:t>5、讨论、决定本区政治、经济、教育、科学、文化、卫生、环境和资源保护、民政、民族等工作的重大事项。</w:t>
      </w:r>
      <w:r>
        <w:rPr>
          <w:rFonts w:hint="default" w:ascii="Times New Roman" w:hAnsi="Times New Roman" w:cs="Times New Roman"/>
          <w:color w:val="000000"/>
          <w:sz w:val="32"/>
          <w:szCs w:val="32"/>
        </w:rPr>
        <w:t xml:space="preserve"> </w:t>
      </w:r>
    </w:p>
    <w:p>
      <w:pPr>
        <w:spacing w:before="0" w:beforeAutospacing="0" w:after="2" w:afterAutospacing="0"/>
        <w:ind w:left="0" w:firstLine="630"/>
      </w:pPr>
      <w:r>
        <w:rPr>
          <w:rFonts w:ascii="宋体" w:hAnsi="宋体" w:eastAsia="宋体" w:cs="宋体"/>
          <w:color w:val="000000"/>
          <w:sz w:val="32"/>
          <w:szCs w:val="32"/>
        </w:rPr>
        <w:t>6、根据区人民政府的提请，决定对本区国民经济和社会发展计划、预算的部分变更。</w:t>
      </w:r>
      <w:r>
        <w:rPr>
          <w:rFonts w:hint="default" w:ascii="Times New Roman" w:hAnsi="Times New Roman" w:cs="Times New Roman"/>
          <w:color w:val="000000"/>
          <w:sz w:val="32"/>
          <w:szCs w:val="32"/>
        </w:rPr>
        <w:t xml:space="preserve"> </w:t>
      </w:r>
    </w:p>
    <w:p>
      <w:pPr>
        <w:spacing w:before="0" w:beforeAutospacing="0" w:after="2" w:afterAutospacing="0"/>
        <w:ind w:left="0" w:firstLine="630"/>
      </w:pPr>
      <w:r>
        <w:rPr>
          <w:rFonts w:ascii="宋体" w:hAnsi="宋体" w:eastAsia="宋体" w:cs="宋体"/>
          <w:color w:val="000000"/>
          <w:sz w:val="32"/>
          <w:szCs w:val="32"/>
        </w:rPr>
        <w:t>7、监督区人民政府、区监察委员会、区人民法院、区人民检察院工作。联系本区的全国、省、市、区人民代表大会代表，指导乡镇、街道、长春经开区人大工作。受理人民群众对“一府一委两院”及其国家工作人员的建议、批评和意见，申诉。</w:t>
      </w:r>
      <w:r>
        <w:rPr>
          <w:rFonts w:hint="default" w:ascii="Times New Roman" w:hAnsi="Times New Roman" w:cs="Times New Roman"/>
          <w:color w:val="000000"/>
          <w:sz w:val="32"/>
          <w:szCs w:val="32"/>
        </w:rPr>
        <w:t xml:space="preserve"> </w:t>
      </w:r>
    </w:p>
    <w:p>
      <w:pPr>
        <w:spacing w:before="0" w:beforeAutospacing="0" w:after="2" w:afterAutospacing="0"/>
        <w:ind w:left="0" w:firstLine="630"/>
      </w:pPr>
      <w:r>
        <w:rPr>
          <w:rFonts w:ascii="宋体" w:hAnsi="宋体" w:eastAsia="宋体" w:cs="宋体"/>
          <w:color w:val="000000"/>
          <w:sz w:val="32"/>
          <w:szCs w:val="32"/>
        </w:rPr>
        <w:t>8、撤销区人民政府不适当的决定和命令。</w:t>
      </w:r>
      <w:r>
        <w:rPr>
          <w:rFonts w:hint="default" w:ascii="Times New Roman" w:hAnsi="Times New Roman" w:cs="Times New Roman"/>
          <w:color w:val="000000"/>
          <w:sz w:val="32"/>
          <w:szCs w:val="32"/>
        </w:rPr>
        <w:t xml:space="preserve"> </w:t>
      </w:r>
    </w:p>
    <w:p>
      <w:pPr>
        <w:spacing w:before="0" w:beforeAutospacing="0" w:after="2" w:afterAutospacing="0"/>
        <w:ind w:left="0" w:firstLine="630"/>
      </w:pPr>
      <w:r>
        <w:rPr>
          <w:rFonts w:ascii="宋体" w:hAnsi="宋体" w:eastAsia="宋体" w:cs="宋体"/>
          <w:color w:val="000000"/>
          <w:sz w:val="32"/>
          <w:szCs w:val="32"/>
        </w:rPr>
        <w:t>9、依法任免国家机关工作人员。</w:t>
      </w:r>
      <w:r>
        <w:rPr>
          <w:rFonts w:hint="default" w:ascii="Times New Roman" w:hAnsi="Times New Roman" w:cs="Times New Roman"/>
          <w:color w:val="000000"/>
          <w:sz w:val="32"/>
          <w:szCs w:val="32"/>
        </w:rPr>
        <w:t xml:space="preserve"> </w:t>
      </w:r>
    </w:p>
    <w:p>
      <w:pPr>
        <w:spacing w:before="0" w:beforeAutospacing="0" w:after="2" w:afterAutospacing="0"/>
        <w:ind w:left="0" w:firstLine="630"/>
      </w:pPr>
      <w:r>
        <w:rPr>
          <w:rFonts w:ascii="宋体" w:hAnsi="宋体" w:eastAsia="宋体" w:cs="宋体"/>
          <w:color w:val="000000"/>
          <w:sz w:val="32"/>
          <w:szCs w:val="32"/>
        </w:rPr>
        <w:t>10、决定授予地方的荣誉称号。</w:t>
      </w:r>
      <w:r>
        <w:rPr>
          <w:rFonts w:hint="default" w:ascii="Times New Roman" w:hAnsi="Times New Roman" w:cs="Times New Roman"/>
          <w:color w:val="000000"/>
          <w:sz w:val="32"/>
          <w:szCs w:val="32"/>
        </w:rPr>
        <w:t xml:space="preserve"> </w:t>
      </w:r>
    </w:p>
    <w:p>
      <w:pPr>
        <w:spacing w:before="0" w:beforeAutospacing="0" w:after="2" w:afterAutospacing="0"/>
        <w:ind w:left="0" w:firstLine="630"/>
      </w:pPr>
      <w:r>
        <w:rPr>
          <w:rFonts w:ascii="宋体" w:hAnsi="宋体" w:eastAsia="宋体" w:cs="宋体"/>
          <w:b/>
          <w:bCs/>
          <w:color w:val="000000"/>
          <w:sz w:val="32"/>
          <w:szCs w:val="32"/>
        </w:rPr>
        <w:t>（二）机构设置</w:t>
      </w:r>
      <w:r>
        <w:rPr>
          <w:color w:val="000000"/>
        </w:rPr>
        <w:t xml:space="preserve"> </w:t>
      </w:r>
    </w:p>
    <w:p>
      <w:pPr>
        <w:spacing w:before="0" w:beforeAutospacing="0" w:after="2" w:afterAutospacing="0"/>
        <w:ind w:left="0" w:firstLine="630"/>
      </w:pPr>
      <w:r>
        <w:rPr>
          <w:rFonts w:ascii="宋体" w:hAnsi="宋体" w:eastAsia="宋体" w:cs="宋体"/>
          <w:color w:val="000000"/>
          <w:sz w:val="32"/>
          <w:szCs w:val="32"/>
        </w:rPr>
        <w:t>益阳市资阳区人民代表大会常务委员会内设机构包括：根据益资办（2019）78号“中共益阳市资阳区委办公室 益阳市资阳区人民政府办公室关于印发《益阳市资阳区人民代表大会常务委员会职能职责、内设机构和人员编制规定》的通知”规定，资阳区人大常委会内设2个工作机构，资阳区人民代表大会设7个专门委员会。共有编制39人，其中行政编制36人，工勤编制3人，全部纳入2021年部门预算编制范围。 2个工作机构分别是办公室（研究室）、选举任免联络工作委员会；7个专门委员会分别为：民族华侨外事委员会、监察和司法委员会、财政经济委员会、教育科学文化卫生委员会、环境与资源保护委员会、农业与农村委员会、社会建设委员会。法制委员会与监察和司法委员会合署办公，预算工作委员会与财政经济委员会合署办公。</w:t>
      </w:r>
      <w:r>
        <w:rPr>
          <w:color w:val="000000"/>
        </w:rPr>
        <w:t xml:space="preserve"> </w:t>
      </w:r>
    </w:p>
    <w:p>
      <w:pPr>
        <w:spacing w:before="0" w:beforeAutospacing="0" w:after="2" w:afterAutospacing="0"/>
        <w:ind w:left="0" w:firstLine="627"/>
      </w:pPr>
      <w:r>
        <w:rPr>
          <w:rStyle w:val="12"/>
          <w:rFonts w:ascii="宋体" w:hAnsi="宋体" w:eastAsia="宋体" w:cs="宋体"/>
          <w:color w:val="000000"/>
          <w:sz w:val="32"/>
          <w:szCs w:val="32"/>
        </w:rPr>
        <w:t>二、部门预算单位构成</w:t>
      </w:r>
      <w:r>
        <w:rPr>
          <w:color w:val="000000"/>
        </w:rPr>
        <w:t xml:space="preserve"> </w:t>
      </w:r>
    </w:p>
    <w:p>
      <w:pPr>
        <w:spacing w:before="0" w:beforeAutospacing="0" w:after="2" w:afterAutospacing="0"/>
        <w:ind w:left="0" w:firstLine="627"/>
      </w:pPr>
      <w:r>
        <w:rPr>
          <w:rFonts w:ascii="宋体" w:hAnsi="宋体" w:eastAsia="宋体" w:cs="宋体"/>
          <w:i w:val="0"/>
          <w:iCs w:val="0"/>
          <w:caps w:val="0"/>
          <w:color w:val="000000"/>
          <w:spacing w:val="0"/>
          <w:sz w:val="32"/>
          <w:szCs w:val="32"/>
        </w:rPr>
        <w:t>益阳市资阳区人民代表大会常务委员会只有本级，没有其他预算单位，纳入编制范围的预算单位仅含益阳市资阳区人民代表大会常务委员会。</w:t>
      </w:r>
      <w:r>
        <w:rPr>
          <w:color w:val="000000"/>
        </w:rPr>
        <w:t xml:space="preserve"> </w:t>
      </w:r>
    </w:p>
    <w:p>
      <w:pPr>
        <w:spacing w:before="0" w:beforeAutospacing="0" w:after="2" w:afterAutospacing="0"/>
        <w:ind w:left="0" w:firstLine="627"/>
      </w:pPr>
      <w:r>
        <w:rPr>
          <w:rStyle w:val="12"/>
          <w:rFonts w:ascii="宋体" w:hAnsi="宋体" w:eastAsia="宋体" w:cs="宋体"/>
          <w:color w:val="000000"/>
          <w:sz w:val="32"/>
          <w:szCs w:val="32"/>
        </w:rPr>
        <w:t>三、部门收支总体情况</w:t>
      </w:r>
      <w:r>
        <w:rPr>
          <w:color w:val="000000"/>
        </w:rPr>
        <w:t xml:space="preserve"> </w:t>
      </w:r>
    </w:p>
    <w:p>
      <w:pPr>
        <w:spacing w:before="0" w:beforeAutospacing="0" w:after="2" w:afterAutospacing="0"/>
        <w:ind w:left="0" w:firstLine="630"/>
      </w:pPr>
      <w:r>
        <w:rPr>
          <w:rFonts w:ascii="宋体" w:hAnsi="宋体" w:eastAsia="宋体" w:cs="宋体"/>
          <w:b/>
          <w:bCs/>
          <w:color w:val="000000"/>
          <w:sz w:val="32"/>
          <w:szCs w:val="32"/>
        </w:rPr>
        <w:t>（一）收入预算：</w:t>
      </w:r>
      <w:r>
        <w:rPr>
          <w:rFonts w:ascii="宋体" w:hAnsi="宋体" w:eastAsia="宋体" w:cs="宋体"/>
          <w:color w:val="000000"/>
          <w:sz w:val="32"/>
          <w:szCs w:val="32"/>
        </w:rPr>
        <w:t>包括一般公共预算、政府性基金、国有资本经营预算等财政拨款收入，以及经营收入、事业收入等单位资金。2021年本部门收入预算973.32万元，其中，一般公共预算拨款881.68万元，政府性基金预算拨款0万元，纳入专户管理的非税收入拨款0万元，其他收入91.64万元。收入较去年增加46.62万元，主要原因是新增调入人员3人工资福利及配套公积金社保等支出18万元，人员正常增资及配套社保、医保、交通补贴、公务费等增加28.62万元。</w:t>
      </w:r>
      <w:r>
        <w:rPr>
          <w:color w:val="000000"/>
        </w:rPr>
        <w:t xml:space="preserve"> </w:t>
      </w:r>
    </w:p>
    <w:p>
      <w:pPr>
        <w:spacing w:before="0" w:beforeAutospacing="0" w:after="2" w:afterAutospacing="0"/>
        <w:ind w:left="0" w:firstLine="630"/>
      </w:pPr>
      <w:r>
        <w:rPr>
          <w:rFonts w:ascii="宋体" w:hAnsi="宋体" w:eastAsia="宋体" w:cs="宋体"/>
          <w:b/>
          <w:bCs/>
          <w:color w:val="000000"/>
          <w:sz w:val="32"/>
          <w:szCs w:val="32"/>
        </w:rPr>
        <w:t>（二）支出预算：</w:t>
      </w:r>
      <w:r>
        <w:rPr>
          <w:rFonts w:ascii="宋体" w:hAnsi="宋体" w:eastAsia="宋体" w:cs="宋体"/>
          <w:color w:val="000000"/>
          <w:sz w:val="32"/>
          <w:szCs w:val="32"/>
        </w:rPr>
        <w:t>2021年本部门支出预算973.32万元，其中：一般公共服务支出767.44万元；社会保障和就业支出62.68万元；卫生健康支出83.38万元；农林水支出3万元；住房保障支出56.82万元。支出较去年增加46.62万元，主要原因是人员正常增资及配套社保、医保、交通补贴、公务费等增加。</w:t>
      </w:r>
      <w:r>
        <w:rPr>
          <w:color w:val="000000"/>
        </w:rPr>
        <w:t xml:space="preserve"> </w:t>
      </w:r>
    </w:p>
    <w:p>
      <w:pPr>
        <w:spacing w:before="0" w:beforeAutospacing="0" w:after="2" w:afterAutospacing="0"/>
        <w:ind w:left="0" w:firstLine="660"/>
      </w:pPr>
      <w:r>
        <w:rPr>
          <w:rStyle w:val="12"/>
          <w:rFonts w:ascii="宋体" w:hAnsi="宋体" w:eastAsia="宋体" w:cs="宋体"/>
          <w:color w:val="000000"/>
          <w:sz w:val="32"/>
          <w:szCs w:val="32"/>
        </w:rPr>
        <w:t>四、一般公共预算拨款支出</w:t>
      </w:r>
      <w:r>
        <w:rPr>
          <w:color w:val="000000"/>
        </w:rPr>
        <w:t xml:space="preserve"> </w:t>
      </w:r>
    </w:p>
    <w:p>
      <w:pPr>
        <w:spacing w:before="0" w:beforeAutospacing="0" w:after="2" w:afterAutospacing="0"/>
        <w:ind w:left="0" w:firstLine="660"/>
      </w:pPr>
      <w:r>
        <w:rPr>
          <w:rFonts w:ascii="宋体" w:hAnsi="宋体" w:eastAsia="宋体" w:cs="宋体"/>
          <w:color w:val="000000"/>
          <w:sz w:val="32"/>
          <w:szCs w:val="32"/>
        </w:rPr>
        <w:t>2021年本部门一般公共预算拨款支出预算881.68万元，具体安排情况如下：</w:t>
      </w:r>
      <w:r>
        <w:rPr>
          <w:color w:val="000000"/>
        </w:rPr>
        <w:t xml:space="preserve"> </w:t>
      </w:r>
    </w:p>
    <w:p>
      <w:pPr>
        <w:spacing w:before="0" w:beforeAutospacing="0" w:after="2" w:afterAutospacing="0"/>
        <w:ind w:left="0" w:firstLine="660"/>
      </w:pPr>
      <w:r>
        <w:rPr>
          <w:rFonts w:ascii="宋体" w:hAnsi="宋体" w:eastAsia="宋体" w:cs="宋体"/>
          <w:b/>
          <w:bCs/>
          <w:color w:val="000000"/>
          <w:sz w:val="32"/>
          <w:szCs w:val="32"/>
        </w:rPr>
        <w:t>（一）基本支出：</w:t>
      </w:r>
      <w:r>
        <w:rPr>
          <w:rFonts w:ascii="宋体" w:hAnsi="宋体" w:eastAsia="宋体" w:cs="宋体"/>
          <w:color w:val="000000"/>
          <w:sz w:val="32"/>
          <w:szCs w:val="32"/>
        </w:rPr>
        <w:t>2021年本部门基本支出预算682.22万元，主要是为保障部门正常运转、完成日常工作任务而发生的各项支出，包括用于基本工资、津贴补贴等人员经费以及办公费、印刷费、水电费、办公设备购置等公用经费。</w:t>
      </w:r>
      <w:r>
        <w:rPr>
          <w:color w:val="000000"/>
        </w:rPr>
        <w:t xml:space="preserve"> </w:t>
      </w:r>
    </w:p>
    <w:p>
      <w:pPr>
        <w:spacing w:before="0" w:beforeAutospacing="0" w:after="2" w:afterAutospacing="0"/>
        <w:ind w:left="0" w:firstLine="660"/>
      </w:pPr>
      <w:r>
        <w:rPr>
          <w:rFonts w:ascii="宋体" w:hAnsi="宋体" w:eastAsia="宋体" w:cs="宋体"/>
          <w:b/>
          <w:bCs/>
          <w:color w:val="000000"/>
          <w:sz w:val="32"/>
          <w:szCs w:val="32"/>
        </w:rPr>
        <w:t>（二）项目支出：</w:t>
      </w:r>
      <w:r>
        <w:rPr>
          <w:rFonts w:ascii="宋体" w:hAnsi="宋体" w:eastAsia="宋体" w:cs="宋体"/>
          <w:color w:val="000000"/>
          <w:sz w:val="32"/>
          <w:szCs w:val="32"/>
        </w:rPr>
        <w:t>2021年本部门项目支出预算199.46万元，主要是部门为完成特定行政工作任务或事业发展目标而发生的支出，包括有关事业发展专项、专项业务费、基本建设支出等，其中：按项目管理的商品和服务支出199.46万元，主要用于代表视察费、调研经费、人代会、人大常委会、办公楼安全保卫、学习培训经费、代表补选、规范性文件备案、农产品质量安全行、驻</w:t>
      </w:r>
      <w:r>
        <w:rPr>
          <w:rFonts w:hint="eastAsia" w:ascii="宋体" w:hAnsi="宋体" w:eastAsia="宋体" w:cs="宋体"/>
          <w:color w:val="000000"/>
          <w:sz w:val="32"/>
          <w:szCs w:val="32"/>
          <w:lang w:eastAsia="zh-CN"/>
        </w:rPr>
        <w:t>人大常委会机关</w:t>
      </w:r>
      <w:r>
        <w:rPr>
          <w:rFonts w:ascii="宋体" w:hAnsi="宋体" w:eastAsia="宋体" w:cs="宋体"/>
          <w:color w:val="000000"/>
          <w:sz w:val="32"/>
          <w:szCs w:val="32"/>
        </w:rPr>
        <w:t>纪监组工作经费、联网监督中心经费等方面。</w:t>
      </w:r>
    </w:p>
    <w:p>
      <w:pPr>
        <w:spacing w:before="0" w:beforeAutospacing="0" w:after="2" w:afterAutospacing="0"/>
        <w:ind w:left="0" w:firstLine="660"/>
      </w:pPr>
      <w:r>
        <w:rPr>
          <w:rStyle w:val="12"/>
          <w:rFonts w:ascii="宋体" w:hAnsi="宋体" w:eastAsia="宋体" w:cs="宋体"/>
          <w:color w:val="000000"/>
          <w:sz w:val="32"/>
          <w:szCs w:val="32"/>
        </w:rPr>
        <w:t>五、</w:t>
      </w:r>
      <w:r>
        <w:rPr>
          <w:rStyle w:val="12"/>
          <w:rFonts w:ascii="宋体" w:hAnsi="宋体" w:eastAsia="宋体" w:cs="宋体"/>
          <w:b/>
          <w:bCs/>
          <w:color w:val="000000"/>
          <w:sz w:val="32"/>
          <w:szCs w:val="32"/>
        </w:rPr>
        <w:t>机关运行及三公经费情况说明</w:t>
      </w:r>
      <w:r>
        <w:rPr>
          <w:color w:val="000000"/>
        </w:rPr>
        <w:t xml:space="preserve"> </w:t>
      </w:r>
    </w:p>
    <w:p>
      <w:pPr>
        <w:spacing w:before="0" w:beforeAutospacing="0" w:after="2" w:afterAutospacing="0"/>
        <w:ind w:left="0" w:firstLine="660"/>
      </w:pPr>
      <w:r>
        <w:rPr>
          <w:rFonts w:ascii="宋体" w:hAnsi="宋体" w:eastAsia="宋体" w:cs="宋体"/>
          <w:b/>
          <w:bCs/>
          <w:color w:val="000000"/>
          <w:sz w:val="32"/>
          <w:szCs w:val="32"/>
        </w:rPr>
        <w:t>（一）机关运行经费情况</w:t>
      </w:r>
    </w:p>
    <w:p>
      <w:pPr>
        <w:spacing w:before="0" w:beforeAutospacing="0" w:after="2" w:afterAutospacing="0"/>
        <w:ind w:left="0" w:firstLine="660"/>
      </w:pPr>
      <w:r>
        <w:rPr>
          <w:rFonts w:ascii="宋体" w:hAnsi="宋体" w:eastAsia="宋体" w:cs="宋体"/>
          <w:color w:val="000000"/>
          <w:sz w:val="32"/>
          <w:szCs w:val="32"/>
        </w:rPr>
        <w:t>2021年本部门机关运行经费102.23万元，比上年预算增加7.35万元，比上年预算上升7.75%，</w:t>
      </w:r>
    </w:p>
    <w:p>
      <w:pPr>
        <w:spacing w:before="0" w:beforeAutospacing="0" w:after="2" w:afterAutospacing="0"/>
        <w:ind w:left="0" w:firstLine="660"/>
      </w:pPr>
      <w:r>
        <w:rPr>
          <w:rFonts w:ascii="宋体" w:hAnsi="宋体" w:eastAsia="宋体" w:cs="宋体"/>
          <w:color w:val="000000"/>
          <w:sz w:val="32"/>
          <w:szCs w:val="32"/>
        </w:rPr>
        <w:t>主要是人员增加正常增长的公务费。</w:t>
      </w:r>
      <w:r>
        <w:rPr>
          <w:color w:val="000000"/>
        </w:rPr>
        <w:t xml:space="preserve"> </w:t>
      </w:r>
    </w:p>
    <w:p>
      <w:pPr>
        <w:spacing w:before="0" w:beforeAutospacing="0" w:after="2" w:afterAutospacing="0"/>
        <w:ind w:left="0" w:firstLine="660"/>
      </w:pPr>
      <w:r>
        <w:rPr>
          <w:rFonts w:ascii="宋体" w:hAnsi="宋体" w:eastAsia="宋体" w:cs="宋体"/>
          <w:b/>
          <w:bCs/>
          <w:color w:val="000000"/>
          <w:sz w:val="32"/>
          <w:szCs w:val="32"/>
        </w:rPr>
        <w:t>（二）“三公”经费情况</w:t>
      </w:r>
    </w:p>
    <w:p>
      <w:pPr>
        <w:spacing w:before="0" w:beforeAutospacing="0" w:after="2" w:afterAutospacing="0"/>
        <w:ind w:left="0" w:firstLine="660"/>
      </w:pPr>
      <w:r>
        <w:rPr>
          <w:rFonts w:ascii="宋体" w:hAnsi="宋体" w:eastAsia="宋体" w:cs="宋体"/>
          <w:color w:val="000000"/>
          <w:sz w:val="32"/>
          <w:szCs w:val="32"/>
        </w:rPr>
        <w:t>2021年本部门“三公”经费预算数为3.5万元，其中：经费拨款3.5万元，分别为公务接待费0万元，公务用车购置0万元，公务用车运行维护费3.5万元，因公出国（境）费0万元；纳入公共预算管理的非税收入拨款0万元，分别为公务接待费0万元，公务用车购置0万元，公务用车运行维护费0万元，因公出国（境）费0万元。2021年“三公”经费预算较上年减少4万元，主要是取消了因公出国（境）费用，压缩了公务接待和公车运行费用。</w:t>
      </w:r>
      <w:r>
        <w:rPr>
          <w:color w:val="000000"/>
        </w:rPr>
        <w:t xml:space="preserve"> </w:t>
      </w:r>
    </w:p>
    <w:p>
      <w:pPr>
        <w:spacing w:before="0" w:beforeAutospacing="0" w:after="2" w:afterAutospacing="0"/>
        <w:ind w:left="0" w:firstLine="660"/>
      </w:pPr>
      <w:r>
        <w:rPr>
          <w:rFonts w:ascii="宋体" w:hAnsi="宋体" w:eastAsia="宋体" w:cs="宋体"/>
          <w:b/>
          <w:bCs/>
          <w:color w:val="000000"/>
          <w:sz w:val="32"/>
          <w:szCs w:val="32"/>
        </w:rPr>
        <w:t>六、国有资产及政府采购情况说明</w:t>
      </w:r>
    </w:p>
    <w:p>
      <w:pPr>
        <w:spacing w:before="0" w:beforeAutospacing="0" w:after="2" w:afterAutospacing="0"/>
        <w:ind w:left="0" w:firstLine="643"/>
      </w:pPr>
      <w:r>
        <w:rPr>
          <w:rFonts w:ascii="宋体" w:hAnsi="宋体" w:eastAsia="宋体" w:cs="宋体"/>
          <w:b/>
          <w:bCs/>
          <w:color w:val="000000"/>
          <w:sz w:val="32"/>
          <w:szCs w:val="32"/>
        </w:rPr>
        <w:t>（一）国有资产占用情况</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截至2020年12月底，本部门共有公务用车0辆，其中，机要通信用车0辆，应急保障用车0辆，执法执勤用车0辆，特种专业技术用车0辆，其他按照规定配备的公务用车0辆；单位价值50万元以上通用设备0台，单位价值100万元以上专用设备0台。2021年拟新增配置公务用车0辆，其中，机要通信用车0辆，应急保障用车0辆，执法执勤用车0辆，特种专业技术用车0辆，其他按照规定配备的公务用车0辆；新增配备单位价值50万元以上通用设备0台，单位价值100万元以上专用设备0台。</w:t>
      </w:r>
    </w:p>
    <w:p>
      <w:pPr>
        <w:spacing w:before="0" w:beforeAutospacing="0" w:after="2" w:afterAutospacing="0"/>
        <w:ind w:left="0" w:firstLine="643"/>
      </w:pPr>
      <w:r>
        <w:rPr>
          <w:rFonts w:ascii="宋体" w:hAnsi="宋体" w:eastAsia="宋体" w:cs="宋体"/>
          <w:b/>
          <w:bCs/>
          <w:color w:val="000000"/>
          <w:sz w:val="32"/>
          <w:szCs w:val="32"/>
        </w:rPr>
        <w:t>（二）政府采购安排情况</w:t>
      </w:r>
    </w:p>
    <w:p>
      <w:pPr>
        <w:spacing w:before="0" w:beforeAutospacing="0" w:after="2" w:afterAutospacing="0"/>
        <w:ind w:left="0" w:firstLine="643"/>
      </w:pPr>
      <w:r>
        <w:rPr>
          <w:rFonts w:ascii="宋体" w:hAnsi="宋体" w:eastAsia="宋体" w:cs="宋体"/>
          <w:color w:val="000000"/>
          <w:sz w:val="32"/>
          <w:szCs w:val="32"/>
        </w:rPr>
        <w:t>2021年本部门政府采购预算总额150万元，其中，货物类采购预算20万元；工程类采购预算0万元；服务类采购预算130万元。</w:t>
      </w:r>
      <w:r>
        <w:rPr>
          <w:color w:val="000000"/>
        </w:rPr>
        <w:t xml:space="preserve"> </w:t>
      </w:r>
    </w:p>
    <w:p>
      <w:pPr>
        <w:spacing w:before="0" w:beforeAutospacing="0" w:after="2" w:afterAutospacing="0"/>
        <w:ind w:left="0" w:firstLine="643"/>
      </w:pPr>
      <w:r>
        <w:rPr>
          <w:rFonts w:ascii="宋体" w:hAnsi="宋体" w:eastAsia="宋体" w:cs="宋体"/>
          <w:b/>
          <w:bCs/>
          <w:color w:val="000000"/>
          <w:sz w:val="32"/>
          <w:szCs w:val="32"/>
        </w:rPr>
        <w:t>七、</w:t>
      </w:r>
      <w:r>
        <w:rPr>
          <w:rStyle w:val="12"/>
          <w:rFonts w:ascii="宋体" w:hAnsi="宋体" w:eastAsia="宋体" w:cs="宋体"/>
          <w:color w:val="000000"/>
          <w:sz w:val="32"/>
          <w:szCs w:val="32"/>
        </w:rPr>
        <w:t>政府性基金预算支出</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shd w:val="clear" w:fill="FFFFFF"/>
        </w:rPr>
        <w:t>2021本部门无政府性基金安排的支出。</w:t>
      </w:r>
      <w:r>
        <w:rPr>
          <w:color w:val="000000"/>
        </w:rPr>
        <w:t xml:space="preserve"> </w:t>
      </w:r>
    </w:p>
    <w:p>
      <w:pPr>
        <w:spacing w:before="0" w:beforeAutospacing="0" w:after="2" w:afterAutospacing="0"/>
        <w:ind w:left="0" w:firstLine="643"/>
      </w:pPr>
      <w:r>
        <w:rPr>
          <w:rFonts w:ascii="宋体" w:hAnsi="宋体" w:eastAsia="宋体" w:cs="宋体"/>
          <w:b/>
          <w:bCs/>
          <w:color w:val="000000"/>
          <w:sz w:val="32"/>
          <w:szCs w:val="32"/>
        </w:rPr>
        <w:t>八、预算绩效情况及其他重要事项</w:t>
      </w:r>
      <w:r>
        <w:rPr>
          <w:color w:val="000000"/>
        </w:rPr>
        <w:t xml:space="preserve"> </w:t>
      </w:r>
    </w:p>
    <w:p>
      <w:pPr>
        <w:spacing w:before="0" w:beforeAutospacing="0" w:after="2" w:afterAutospacing="0"/>
        <w:ind w:left="0" w:firstLine="643"/>
      </w:pPr>
      <w:r>
        <w:rPr>
          <w:rFonts w:ascii="宋体" w:hAnsi="宋体" w:eastAsia="宋体" w:cs="宋体"/>
          <w:b/>
          <w:bCs/>
          <w:color w:val="000000"/>
          <w:sz w:val="32"/>
          <w:szCs w:val="32"/>
        </w:rPr>
        <w:t>（一）重点项目预算的绩效目标等预算绩效情况说明</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本部门整体支出和项目支出实行绩效目标管理，纳入2021年部门整体支出绩效目标的金额为973.32万元，其中：基本支出773.86万元，项目支出199.46万元，主要绩效目标是：按质、按量完成当年调研任务；加强安保素质教育，提高全员防范意识；实行日常和节假日值班制度，加强办公楼内安全管理；组织三次较大规模培训，提高代表履职能力；保证第六届人民代表大会第一次会议的圆满召开。</w:t>
      </w:r>
    </w:p>
    <w:p>
      <w:pPr>
        <w:spacing w:before="0" w:beforeAutospacing="0" w:after="2" w:afterAutospacing="0"/>
        <w:ind w:left="0" w:firstLine="643"/>
      </w:pPr>
      <w:r>
        <w:rPr>
          <w:rFonts w:ascii="宋体" w:hAnsi="宋体" w:eastAsia="宋体" w:cs="宋体"/>
          <w:b/>
          <w:bCs/>
          <w:color w:val="000000"/>
          <w:sz w:val="32"/>
          <w:szCs w:val="32"/>
        </w:rPr>
        <w:t>（二）其他重要事项说明</w:t>
      </w:r>
    </w:p>
    <w:p>
      <w:pPr>
        <w:spacing w:before="0" w:beforeAutospacing="0" w:after="2" w:afterAutospacing="0"/>
        <w:ind w:left="0" w:firstLine="643"/>
      </w:pPr>
      <w:r>
        <w:rPr>
          <w:rFonts w:ascii="宋体" w:hAnsi="宋体" w:eastAsia="宋体" w:cs="宋体"/>
          <w:b/>
          <w:bCs/>
          <w:color w:val="000000"/>
          <w:sz w:val="32"/>
          <w:szCs w:val="32"/>
        </w:rPr>
        <w:t>一般性支出情况：</w:t>
      </w:r>
      <w:r>
        <w:rPr>
          <w:rFonts w:ascii="宋体" w:hAnsi="宋体" w:eastAsia="宋体" w:cs="宋体"/>
          <w:color w:val="000000"/>
          <w:sz w:val="32"/>
          <w:szCs w:val="32"/>
        </w:rPr>
        <w:t xml:space="preserve">2021年本部门会议费预算0万元，我单位2021年度无会议费支出；培训费预算0万元，我单位2021年度无培训费支出；拟举办节庆、晚会、论坛、赛事，经费预算0万元，我单位2021年度无节庆相关费用支出。 </w:t>
      </w:r>
    </w:p>
    <w:p>
      <w:pPr>
        <w:spacing w:before="0" w:beforeAutospacing="0" w:after="2" w:afterAutospacing="0"/>
        <w:ind w:left="0" w:firstLine="643"/>
      </w:pPr>
      <w:r>
        <w:rPr>
          <w:rStyle w:val="12"/>
          <w:rFonts w:ascii="宋体" w:hAnsi="宋体" w:eastAsia="宋体" w:cs="宋体"/>
          <w:color w:val="000000"/>
          <w:sz w:val="32"/>
          <w:szCs w:val="32"/>
        </w:rPr>
        <w:t>九、名词解释</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w:t>
      </w:r>
      <w:r>
        <w:rPr>
          <w:rFonts w:ascii="宋体" w:hAnsi="宋体" w:eastAsia="宋体" w:cs="宋体"/>
          <w:color w:val="000000"/>
          <w:sz w:val="32"/>
          <w:szCs w:val="32"/>
          <w:shd w:val="clear" w:fill="FFFFFF"/>
        </w:rPr>
        <w:t>财政拨款（补助）收入：指财政预算安排且当年拨付的资金。</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2、</w:t>
      </w:r>
      <w:r>
        <w:rPr>
          <w:rFonts w:ascii="宋体" w:hAnsi="宋体" w:eastAsia="宋体" w:cs="宋体"/>
          <w:color w:val="000000"/>
          <w:sz w:val="32"/>
          <w:szCs w:val="32"/>
          <w:shd w:val="clear" w:fill="FFFFFF"/>
        </w:rPr>
        <w:t>一般公共服务支出（</w:t>
      </w:r>
      <w:r>
        <w:rPr>
          <w:rFonts w:ascii="宋体" w:hAnsi="宋体" w:eastAsia="宋体" w:cs="宋体"/>
          <w:color w:val="000000"/>
          <w:sz w:val="32"/>
          <w:szCs w:val="32"/>
        </w:rPr>
        <w:t>201</w:t>
      </w:r>
      <w:r>
        <w:rPr>
          <w:rFonts w:ascii="宋体" w:hAnsi="宋体" w:eastAsia="宋体" w:cs="宋体"/>
          <w:color w:val="000000"/>
          <w:sz w:val="32"/>
          <w:szCs w:val="32"/>
          <w:shd w:val="clear" w:fill="FFFFFF"/>
        </w:rPr>
        <w:t>类）：反映政府提供一般公共服务的支出。</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3、政府办公厅（室）及相关机构事务（20103款）：反映各级政府办公厅（室）及相关机构的支出。</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4、行政运行（2010301项）：反映行政单位（包括实行公务员管理的事业单位）的基本支出。</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5、专项业务及机关事务管理（2010305项）：反映各级政府举行各类重大活动、召开重要会议（如国务院一类会议、国庆招待会、全国劳模大会）的支出，政府机关房地产管理、公务用车管理等方面的支出。</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6、社会保障和就业支出（208类）：反映政府在社会保障与就业方面的支出。</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7、行政事业单位养老支出（20805款）：反映用于行政事业单位养老方面的支出。</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8、机关事业单位基本养老保险缴费支出（2080505类）：反映机关事业单位实施养老保险制度由单位缴纳的基本养老保险费支出。</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9、机关事业单位职业年金缴费支出（2080506类）：反映机关事业单位实施养老保险制度由单位缴纳的职业年金支出。</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10、卫生健康支出（210类）：反映政府卫生健康方面的支出。</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11、行政事业单位医疗（21011款）：反映行政事业单位医疗方面的支出。</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12、行政单位医疗（2101101项）：反映财政部门安排的行政单位（包括实行公务员管理的事业单位）基本医疗保险缴费经费，未参加医疗保险的行政单位的公费医疗经费，按国家规定享受离休人员、红军老战士待遇人员的医疗经费。</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shd w:val="clear" w:fill="FFFFFF"/>
        </w:rPr>
        <w:t>13、基本支出：指为保障机构正常运转、完成日常工作任务而发生的人员支出（包括基本工资、津贴补贴等）和公用支出（包括办公费、水电费、邮电费、交通费、会议费、差旅费等）。</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shd w:val="clear" w:fill="FFFFFF"/>
        </w:rPr>
        <w:t>14、项目支出：指在基本支出之外为完成特定行政任务和事业发展目标所发生的支出。</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shd w:val="clear" w:fill="FFFFFF"/>
        </w:rPr>
        <w:t>15、“三公”经费：按照有关规定，“三公”经费包括因公出国（境）费用、公务接待费、公务用车购置及运行费。</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shd w:val="clear" w:fill="FFFFFF"/>
        </w:rPr>
        <w:t>16、公务用车：指单位用于履行公务的车辆，包括领导干部专车、一般公务用车和执法执勤用车。</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17、机关运行经费：指各部门的公用经费。包括办公费、印刷费、水电费、邮电费、差旅费、因公出国(境)费用、维修(护)费、会议费、培训费、公务接待费、工会会费、福利费、公务用车运行维护费、其他交通费用以及其他商品和服务支出等。</w:t>
      </w:r>
      <w:r>
        <w:rPr>
          <w:color w:val="000000"/>
        </w:rPr>
        <w:t xml:space="preserve"> </w:t>
      </w:r>
    </w:p>
    <w:p>
      <w:pPr>
        <w:spacing w:before="0" w:beforeAutospacing="0" w:after="2" w:afterAutospacing="0"/>
        <w:ind w:left="0" w:firstLine="643"/>
      </w:pPr>
    </w:p>
    <w:p>
      <w:pPr>
        <w:pStyle w:val="9"/>
        <w:keepNext w:val="0"/>
        <w:keepLines w:val="0"/>
        <w:widowControl/>
        <w:suppressLineNumbers w:val="0"/>
        <w:spacing w:before="0" w:beforeAutospacing="0" w:after="2" w:afterAutospacing="0"/>
      </w:pPr>
    </w:p>
    <w:p>
      <w:pPr>
        <w:pStyle w:val="9"/>
        <w:keepNext w:val="0"/>
        <w:keepLines w:val="0"/>
        <w:widowControl/>
        <w:suppressLineNumbers w:val="0"/>
        <w:spacing w:before="0" w:beforeAutospacing="0" w:after="2" w:afterAutospacing="0"/>
      </w:pPr>
    </w:p>
    <w:p>
      <w:pPr>
        <w:spacing w:before="0" w:beforeAutospacing="0" w:after="2" w:afterAutospacing="0"/>
        <w:jc w:val="center"/>
      </w:pPr>
      <w:r>
        <w:rPr>
          <w:rStyle w:val="12"/>
          <w:rFonts w:ascii="宋体" w:hAnsi="宋体" w:eastAsia="宋体" w:cs="宋体"/>
          <w:color w:val="000000"/>
          <w:sz w:val="40"/>
          <w:szCs w:val="40"/>
        </w:rPr>
        <w:t>第二部分 2021年部门预算表</w:t>
      </w:r>
      <w:r>
        <w:rPr>
          <w:color w:val="000000"/>
        </w:rPr>
        <w:t xml:space="preserve"> </w:t>
      </w:r>
    </w:p>
    <w:p>
      <w:pPr>
        <w:spacing w:before="0" w:beforeAutospacing="0" w:after="240" w:afterAutospacing="0"/>
        <w:jc w:val="center"/>
      </w:pPr>
      <w:r>
        <w:rPr>
          <w:rFonts w:ascii="宋体" w:hAnsi="宋体" w:eastAsia="宋体" w:cs="宋体"/>
          <w:sz w:val="36"/>
          <w:szCs w:val="36"/>
        </w:rPr>
        <w:fldChar w:fldCharType="begin"/>
      </w:r>
      <w:r>
        <w:rPr>
          <w:rFonts w:ascii="宋体" w:hAnsi="宋体" w:eastAsia="宋体" w:cs="宋体"/>
          <w:sz w:val="36"/>
          <w:szCs w:val="36"/>
        </w:rPr>
        <w:instrText xml:space="preserve"> HYPERLINK "http://yjs.jbreport.com/home/downloadAttachment?attachGUID=648acb90a1d64429ac05146b48d0a8a3" \t "_blank" </w:instrText>
      </w:r>
      <w:r>
        <w:rPr>
          <w:rFonts w:ascii="宋体" w:hAnsi="宋体" w:eastAsia="宋体" w:cs="宋体"/>
          <w:sz w:val="36"/>
          <w:szCs w:val="36"/>
        </w:rPr>
        <w:fldChar w:fldCharType="separate"/>
      </w:r>
      <w:r>
        <w:rPr>
          <w:rStyle w:val="13"/>
          <w:rFonts w:ascii="宋体" w:hAnsi="宋体" w:eastAsia="宋体" w:cs="宋体"/>
          <w:sz w:val="36"/>
          <w:szCs w:val="36"/>
        </w:rPr>
        <w:t>益阳市资阳区人民代表大会常务委员会-2021年部门预算公开表.xlsx</w:t>
      </w:r>
      <w:r>
        <w:rPr>
          <w:rFonts w:ascii="宋体" w:hAnsi="宋体" w:eastAsia="宋体" w:cs="宋体"/>
          <w:sz w:val="36"/>
          <w:szCs w:val="36"/>
        </w:rPr>
        <w:fldChar w:fldCharType="end"/>
      </w:r>
    </w:p>
    <w:p>
      <w:pPr>
        <w:pStyle w:val="9"/>
        <w:keepNext w:val="0"/>
        <w:keepLines w:val="0"/>
        <w:widowControl/>
        <w:suppressLineNumbers w:val="0"/>
        <w:spacing w:before="0" w:beforeAutospacing="0" w:after="2" w:afterAutospacing="0"/>
      </w:pPr>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fixed"/>
    <w:sig w:usb0="00000003" w:usb1="288F0000" w:usb2="00000006" w:usb3="00000000" w:csb0="00040001" w:csb1="00000000"/>
  </w:font>
  <w:font w:name="微软雅黑">
    <w:panose1 w:val="020B0503020204020204"/>
    <w:charset w:val="86"/>
    <w:family w:val="auto"/>
    <w:pitch w:val="variable"/>
    <w:sig w:usb0="80000287" w:usb1="280F3C52" w:usb2="00000016" w:usb3="00000000" w:csb0="0004001F" w:csb1="00000000"/>
  </w:font>
  <w:font w:name="楷体">
    <w:panose1 w:val="02010609060101010101"/>
    <w:charset w:val="86"/>
    <w:family w:val="auto"/>
    <w:pitch w:val="fixed"/>
    <w:sig w:usb0="800002BF" w:usb1="38CF7CFA" w:usb2="00000016" w:usb3="00000000" w:csb0="00040001" w:csb1="00000000"/>
  </w:font>
  <w:font w:name="@新宋体">
    <w:panose1 w:val="02010609030101010101"/>
    <w:charset w:val="86"/>
    <w:family w:val="auto"/>
    <w:pitch w:val="fixed"/>
    <w:sig w:usb0="00000003" w:usb1="288F0000" w:usb2="00000006" w:usb3="00000000" w:csb0="00040001" w:csb1="00000000"/>
  </w:font>
  <w:font w:name="Cambria Math">
    <w:panose1 w:val="02040503050406030204"/>
    <w:charset w:val="00"/>
    <w:family w:val="auto"/>
    <w:pitch w:val="variable"/>
    <w:sig w:usb0="E00002FF" w:usb1="420024FF" w:usb2="00000000" w:usb3="00000000" w:csb0="2000019F" w:csb1="00000000"/>
  </w:font>
  <w:font w:name="等线">
    <w:altName w:val="微软雅黑"/>
    <w:panose1 w:val="02010600030101010101"/>
    <w:charset w:val="86"/>
    <w:family w:val="auto"/>
    <w:pitch w:val="variable"/>
    <w:sig w:usb0="A00002BF" w:usb1="38CF7CFA" w:usb2="00000016" w:usb3="00000000" w:csb0="0004000F" w:csb1="00000000"/>
  </w:font>
  <w:font w:name="Verdana">
    <w:panose1 w:val="020B0604030504040204"/>
    <w:charset w:val="00"/>
    <w:family w:val="auto"/>
    <w:pitch w:val="variable"/>
    <w:sig w:usb0="A10006FF" w:usb1="4000205B" w:usb2="00000010" w:usb3="00000000" w:csb0="2000019F" w:csb1="00000000"/>
  </w:font>
  <w:font w:name="@宋体">
    <w:panose1 w:val="02010600030101010101"/>
    <w:charset w:val="86"/>
    <w:family w:val="auto"/>
    <w:pitch w:val="variable"/>
    <w:sig w:usb0="00000003" w:usb1="288F0000" w:usb2="00000006" w:usb3="00000000" w:csb0="00040001" w:csb1="00000000"/>
  </w:font>
  <w:font w:name="@微软雅黑">
    <w:panose1 w:val="020B0503020204020204"/>
    <w:charset w:val="86"/>
    <w:family w:val="auto"/>
    <w:pitch w:val="variable"/>
    <w:sig w:usb0="80000287" w:usb1="280F3C52" w:usb2="00000016" w:usb3="00000000" w:csb0="0004001F" w:csb1="00000000"/>
  </w:font>
  <w:font w:name="@黑体">
    <w:panose1 w:val="02010609060101010101"/>
    <w:charset w:val="86"/>
    <w:family w:val="auto"/>
    <w:pitch w:val="fixed"/>
    <w:sig w:usb0="800002BF" w:usb1="38CF7CFA" w:usb2="00000016" w:usb3="00000000" w:csb0="00040001" w:csb1="00000000"/>
  </w:font>
  <w:font w:name="@楷体">
    <w:panose1 w:val="02010609060101010101"/>
    <w:charset w:val="86"/>
    <w:family w:val="auto"/>
    <w:pitch w:val="fixed"/>
    <w:sig w:usb0="800002BF" w:usb1="38CF7CFA" w:usb2="00000016" w:usb3="00000000" w:csb0="00040001" w:csb1="00000000"/>
  </w:font>
  <w:font w:name="Arial Black">
    <w:panose1 w:val="020B0A04020102020204"/>
    <w:charset w:val="00"/>
    <w:family w:val="auto"/>
    <w:pitch w:val="variable"/>
    <w:sig w:usb0="00000287" w:usb1="00000000" w:usb2="00000000" w:usb3="00000000" w:csb0="2000009F" w:csb1="DFD70000"/>
  </w:font>
  <w:font w:name="Tahoma">
    <w:panose1 w:val="020B0604030504040204"/>
    <w:charset w:val="00"/>
    <w:family w:val="auto"/>
    <w:pitch w:val="variable"/>
    <w:sig w:usb0="E1002EFF" w:usb1="C000605B" w:usb2="00000029" w:usb3="00000000" w:csb0="200101FF" w:csb1="20280000"/>
  </w:font>
  <w:font w:name="@等线">
    <w:altName w:val="宋体"/>
    <w:panose1 w:val="02010600030101010101"/>
    <w:charset w:val="86"/>
    <w:family w:val="auto"/>
    <w:pitch w:val="variable"/>
    <w:sig w:usb0="A00002BF" w:usb1="38CF7CFA" w:usb2="00000016" w:usb3="00000000" w:csb0="0004000F" w:csb1="00000000"/>
  </w:font>
  <w:font w:name="@仿宋">
    <w:panose1 w:val="02010609060101010101"/>
    <w:charset w:val="86"/>
    <w:family w:val="auto"/>
    <w:pitch w:val="fixed"/>
    <w:sig w:usb0="800002BF" w:usb1="38CF7CFA" w:usb2="00000016" w:usb3="00000000" w:csb0="00040001" w:csb1="00000000"/>
  </w:font>
  <w:font w:name="仿宋">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iZTIxNmE3MjAwODM2Y2RlOGMzMjg4NWI5MjNiYTMifQ=="/>
  </w:docVars>
  <w:rsids>
    <w:rsidRoot w:val="00000000"/>
    <w:rsid w:val="2D3C1D45"/>
    <w:rsid w:val="5C9A05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 w:type="paragraph" w:styleId="2">
    <w:name w:val="heading 1"/>
    <w:basedOn w:val="1"/>
    <w:next w:val="1"/>
    <w:qFormat/>
    <w:uiPriority w:val="0"/>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widowControl/>
      <w:spacing w:before="0" w:beforeAutospacing="1" w:after="0" w:afterAutospacing="1"/>
      <w:ind w:left="0" w:right="0"/>
      <w:jc w:val="left"/>
    </w:pPr>
    <w:rPr>
      <w:rFonts w:hint="default" w:ascii="宋体" w:hAnsi="宋体" w:eastAsia="宋体" w:cs="宋体"/>
      <w:kern w:val="0"/>
      <w:sz w:val="24"/>
      <w:szCs w:val="24"/>
      <w:lang w:val="en-US" w:eastAsia="zh-CN" w:bidi="ar"/>
    </w:rPr>
  </w:style>
  <w:style w:type="character" w:styleId="12">
    <w:name w:val="Strong"/>
    <w:basedOn w:val="11"/>
    <w:qFormat/>
    <w:uiPriority w:val="0"/>
    <w:rPr>
      <w:b/>
    </w:rPr>
  </w:style>
  <w:style w:type="character" w:styleId="13">
    <w:name w:val="Hyperlink"/>
    <w:basedOn w:val="11"/>
    <w:uiPriority w:val="0"/>
    <w:rPr>
      <w:color w:val="0000FF"/>
      <w:u w:val="single"/>
    </w:rPr>
  </w:style>
  <w:style w:type="paragraph" w:customStyle="1" w:styleId="14">
    <w:name w:val="18"/>
    <w:basedOn w:val="1"/>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3844</Words>
  <Characters>4109</Characters>
  <TotalTime>2</TotalTime>
  <ScaleCrop>false</ScaleCrop>
  <LinksUpToDate>false</LinksUpToDate>
  <CharactersWithSpaces>4213</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2023-05-27T06:16:40Z</dcterms:created>
  <dc:creator>Administrator</dc:creator>
  <cp:lastModifiedBy>Administrator</cp:lastModifiedBy>
  <dcterms:modified xsi:type="dcterms:W3CDTF">2023-05-27T06:18:57Z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8A33A68FECB94B4497AA9D53DCED0B66_13</vt:lpwstr>
  </property>
</Properties>
</file>