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bidi w:val="0"/>
        <w:snapToGrid/>
        <w:spacing w:line="560" w:lineRule="exact"/>
        <w:jc w:val="center"/>
        <w:textAlignment w:val="auto"/>
        <w:rPr>
          <w:rFonts w:hint="eastAsia" w:ascii="方正小标宋简体" w:eastAsia="方正小标宋简体"/>
          <w:bCs/>
          <w:sz w:val="44"/>
          <w:szCs w:val="44"/>
        </w:rPr>
      </w:pPr>
      <w:r>
        <w:rPr>
          <w:rFonts w:hint="eastAsia" w:ascii="方正小标宋简体" w:eastAsia="方正小标宋简体"/>
          <w:bCs/>
          <w:spacing w:val="4"/>
          <w:sz w:val="44"/>
          <w:szCs w:val="44"/>
        </w:rPr>
        <w:t>关于资阳区202</w:t>
      </w:r>
      <w:r>
        <w:rPr>
          <w:rFonts w:hint="eastAsia" w:ascii="方正小标宋简体" w:eastAsia="方正小标宋简体"/>
          <w:bCs/>
          <w:spacing w:val="4"/>
          <w:sz w:val="44"/>
          <w:szCs w:val="44"/>
          <w:lang w:val="en-US" w:eastAsia="zh-CN"/>
        </w:rPr>
        <w:t>2</w:t>
      </w:r>
      <w:r>
        <w:rPr>
          <w:rFonts w:hint="eastAsia" w:ascii="方正小标宋简体" w:eastAsia="方正小标宋简体"/>
          <w:bCs/>
          <w:spacing w:val="4"/>
          <w:sz w:val="44"/>
          <w:szCs w:val="44"/>
        </w:rPr>
        <w:t>年财政预算执行情况</w:t>
      </w:r>
      <w:r>
        <w:rPr>
          <w:rFonts w:hint="eastAsia" w:ascii="方正小标宋简体" w:eastAsia="方正小标宋简体"/>
          <w:bCs/>
          <w:sz w:val="44"/>
          <w:szCs w:val="44"/>
        </w:rPr>
        <w:t>和</w:t>
      </w:r>
    </w:p>
    <w:p>
      <w:pPr>
        <w:keepNext w:val="0"/>
        <w:keepLines w:val="0"/>
        <w:pageBreakBefore w:val="0"/>
        <w:kinsoku/>
        <w:wordWrap/>
        <w:overflowPunct/>
        <w:topLinePunct w:val="0"/>
        <w:bidi w:val="0"/>
        <w:snapToGrid/>
        <w:spacing w:line="560" w:lineRule="exact"/>
        <w:jc w:val="center"/>
        <w:textAlignment w:val="auto"/>
        <w:rPr>
          <w:rFonts w:hint="eastAsia" w:ascii="楷体_GB2312" w:hAnsi="楷体_GB2312" w:eastAsia="楷体_GB2312" w:cs="楷体_GB2312"/>
          <w:bCs/>
          <w:spacing w:val="-10"/>
          <w:sz w:val="28"/>
          <w:szCs w:val="28"/>
        </w:rPr>
      </w:pPr>
      <w:r>
        <w:rPr>
          <w:rFonts w:hint="eastAsia" w:ascii="方正小标宋简体" w:eastAsia="方正小标宋简体"/>
          <w:bCs/>
          <w:spacing w:val="4"/>
          <w:sz w:val="44"/>
          <w:szCs w:val="44"/>
        </w:rPr>
        <w:t>202</w:t>
      </w:r>
      <w:r>
        <w:rPr>
          <w:rFonts w:hint="eastAsia" w:ascii="方正小标宋简体" w:eastAsia="方正小标宋简体"/>
          <w:bCs/>
          <w:spacing w:val="4"/>
          <w:sz w:val="44"/>
          <w:szCs w:val="44"/>
          <w:lang w:val="en-US" w:eastAsia="zh-CN"/>
        </w:rPr>
        <w:t>3</w:t>
      </w:r>
      <w:r>
        <w:rPr>
          <w:rFonts w:hint="eastAsia" w:ascii="方正小标宋简体" w:eastAsia="方正小标宋简体"/>
          <w:bCs/>
          <w:spacing w:val="4"/>
          <w:sz w:val="44"/>
          <w:szCs w:val="44"/>
        </w:rPr>
        <w:t>年财政预算（草案）的报</w:t>
      </w:r>
      <w:r>
        <w:rPr>
          <w:rFonts w:hint="eastAsia" w:ascii="方正小标宋简体" w:eastAsia="方正小标宋简体"/>
          <w:bCs/>
          <w:sz w:val="44"/>
          <w:szCs w:val="44"/>
        </w:rPr>
        <w:t>告</w:t>
      </w:r>
    </w:p>
    <w:p>
      <w:pPr>
        <w:autoSpaceDN w:val="0"/>
        <w:snapToGrid w:val="0"/>
        <w:spacing w:line="600" w:lineRule="exact"/>
        <w:jc w:val="center"/>
        <w:rPr>
          <w:rFonts w:hint="eastAsia" w:ascii="楷体" w:hAnsi="楷体" w:eastAsia="楷体" w:cs="楷体_GB2312"/>
          <w:bCs/>
          <w:color w:val="000000"/>
          <w:w w:val="76"/>
          <w:sz w:val="32"/>
          <w:szCs w:val="32"/>
          <w:lang w:eastAsia="zh-CN"/>
        </w:rPr>
      </w:pPr>
      <w:r>
        <w:rPr>
          <w:rFonts w:hint="eastAsia" w:ascii="楷体" w:hAnsi="楷体" w:eastAsia="楷体" w:cs="仿宋"/>
          <w:bCs/>
          <w:color w:val="000000"/>
          <w:w w:val="76"/>
          <w:sz w:val="32"/>
          <w:szCs w:val="32"/>
        </w:rPr>
        <w:t>—</w:t>
      </w:r>
      <w:r>
        <w:rPr>
          <w:rFonts w:hint="eastAsia" w:ascii="楷体" w:hAnsi="楷体" w:eastAsia="楷体" w:cs="楷体_GB2312"/>
          <w:bCs/>
          <w:color w:val="000000"/>
          <w:spacing w:val="-6"/>
          <w:w w:val="76"/>
          <w:sz w:val="32"/>
          <w:szCs w:val="32"/>
        </w:rPr>
        <w:t>2022年12月</w:t>
      </w:r>
      <w:r>
        <w:rPr>
          <w:rFonts w:hint="eastAsia" w:ascii="楷体" w:hAnsi="楷体" w:eastAsia="楷体" w:cs="楷体_GB2312"/>
          <w:bCs/>
          <w:color w:val="000000"/>
          <w:spacing w:val="-6"/>
          <w:w w:val="76"/>
          <w:sz w:val="32"/>
          <w:szCs w:val="32"/>
          <w:lang w:val="en-US" w:eastAsia="zh-CN"/>
        </w:rPr>
        <w:t>19</w:t>
      </w:r>
      <w:r>
        <w:rPr>
          <w:rFonts w:hint="eastAsia" w:ascii="楷体" w:hAnsi="楷体" w:eastAsia="楷体" w:cs="楷体_GB2312"/>
          <w:bCs/>
          <w:color w:val="000000"/>
          <w:spacing w:val="-6"/>
          <w:w w:val="76"/>
          <w:sz w:val="32"/>
          <w:szCs w:val="32"/>
        </w:rPr>
        <w:t>日在益阳市资阳区第六届人民代表大会</w:t>
      </w:r>
      <w:r>
        <w:rPr>
          <w:rFonts w:hint="eastAsia" w:ascii="楷体" w:hAnsi="楷体" w:eastAsia="楷体" w:cs="楷体_GB2312"/>
          <w:bCs/>
          <w:color w:val="000000"/>
          <w:spacing w:val="-6"/>
          <w:w w:val="76"/>
          <w:sz w:val="32"/>
          <w:szCs w:val="32"/>
          <w:lang w:eastAsia="zh-CN"/>
        </w:rPr>
        <w:t>第</w:t>
      </w:r>
      <w:r>
        <w:rPr>
          <w:rFonts w:hint="eastAsia" w:ascii="楷体" w:hAnsi="楷体" w:eastAsia="楷体" w:cs="楷体_GB2312"/>
          <w:bCs/>
          <w:color w:val="000000"/>
          <w:spacing w:val="-6"/>
          <w:w w:val="76"/>
          <w:sz w:val="32"/>
          <w:szCs w:val="32"/>
          <w:lang w:val="en-US" w:eastAsia="zh-CN"/>
        </w:rPr>
        <w:t>二</w:t>
      </w:r>
      <w:r>
        <w:rPr>
          <w:rFonts w:hint="eastAsia" w:ascii="楷体" w:hAnsi="楷体" w:eastAsia="楷体" w:cs="楷体_GB2312"/>
          <w:bCs/>
          <w:color w:val="000000"/>
          <w:spacing w:val="-6"/>
          <w:w w:val="76"/>
          <w:sz w:val="32"/>
          <w:szCs w:val="32"/>
          <w:lang w:eastAsia="zh-CN"/>
        </w:rPr>
        <w:t>次会议上</w:t>
      </w:r>
    </w:p>
    <w:p>
      <w:pPr>
        <w:spacing w:line="560" w:lineRule="exact"/>
        <w:jc w:val="center"/>
        <w:rPr>
          <w:rFonts w:ascii="楷体" w:hAnsi="楷体" w:eastAsia="楷体" w:cs="楷体_GB2312"/>
          <w:sz w:val="32"/>
        </w:rPr>
      </w:pPr>
      <w:r>
        <w:rPr>
          <w:rFonts w:hint="eastAsia" w:ascii="楷体" w:hAnsi="楷体" w:eastAsia="楷体" w:cs="楷体_GB2312"/>
          <w:sz w:val="32"/>
          <w:lang w:eastAsia="zh-CN"/>
        </w:rPr>
        <w:t>益阳市</w:t>
      </w:r>
      <w:bookmarkStart w:id="1" w:name="_GoBack"/>
      <w:bookmarkEnd w:id="1"/>
      <w:r>
        <w:rPr>
          <w:rFonts w:hint="eastAsia" w:ascii="楷体" w:hAnsi="楷体" w:eastAsia="楷体" w:cs="楷体_GB2312"/>
          <w:sz w:val="32"/>
        </w:rPr>
        <w:t>资阳区财政局</w:t>
      </w:r>
    </w:p>
    <w:p>
      <w:pPr>
        <w:spacing w:line="560" w:lineRule="exact"/>
        <w:rPr>
          <w:rFonts w:hint="eastAsia" w:ascii="黑体" w:eastAsia="黑体"/>
          <w:sz w:val="32"/>
          <w:szCs w:val="32"/>
        </w:rPr>
      </w:pPr>
    </w:p>
    <w:p>
      <w:pPr>
        <w:spacing w:line="560" w:lineRule="exact"/>
        <w:rPr>
          <w:rFonts w:ascii="楷体_GB2312" w:eastAsia="楷体_GB2312"/>
          <w:sz w:val="32"/>
          <w:szCs w:val="32"/>
        </w:rPr>
      </w:pPr>
      <w:r>
        <w:rPr>
          <w:rFonts w:hint="eastAsia" w:ascii="仿宋_GB2312" w:eastAsia="仿宋_GB2312"/>
          <w:sz w:val="32"/>
          <w:szCs w:val="32"/>
          <w:lang w:eastAsia="zh-CN"/>
        </w:rPr>
        <w:t>各位代表</w:t>
      </w:r>
      <w:r>
        <w:rPr>
          <w:rFonts w:hint="eastAsia" w:ascii="仿宋_GB2312" w:eastAsia="仿宋_GB2312"/>
          <w:sz w:val="32"/>
          <w:szCs w:val="32"/>
        </w:rPr>
        <w:t>：</w:t>
      </w:r>
    </w:p>
    <w:p>
      <w:pPr>
        <w:spacing w:line="560" w:lineRule="exact"/>
        <w:ind w:firstLine="640" w:firstLineChars="200"/>
        <w:rPr>
          <w:rFonts w:hint="eastAsia" w:ascii="黑体" w:eastAsia="黑体"/>
          <w:sz w:val="32"/>
          <w:szCs w:val="32"/>
        </w:rPr>
      </w:pPr>
      <w:r>
        <w:rPr>
          <w:rFonts w:hint="eastAsia" w:ascii="仿宋_GB2312" w:eastAsia="仿宋_GB2312"/>
          <w:sz w:val="32"/>
          <w:szCs w:val="32"/>
        </w:rPr>
        <w:t>受区人民政府委托，向大会报告资阳区2022年财政预算执行情况和2023年财政预算（草案），请予审议</w:t>
      </w:r>
      <w:r>
        <w:rPr>
          <w:rFonts w:hint="eastAsia" w:ascii="仿宋_GB2312" w:eastAsia="仿宋_GB2312"/>
          <w:sz w:val="32"/>
          <w:szCs w:val="32"/>
          <w:lang w:eastAsia="zh-CN"/>
        </w:rPr>
        <w:t>，</w:t>
      </w:r>
      <w:r>
        <w:rPr>
          <w:rFonts w:hint="eastAsia" w:ascii="仿宋_GB2312" w:eastAsia="仿宋_GB2312"/>
          <w:sz w:val="32"/>
          <w:szCs w:val="32"/>
        </w:rPr>
        <w:t>并请各位政协委员和列席大会的各界人士提出宝贵意见。</w:t>
      </w:r>
    </w:p>
    <w:p>
      <w:pPr>
        <w:spacing w:line="560" w:lineRule="exact"/>
        <w:ind w:firstLine="640" w:firstLineChars="200"/>
        <w:rPr>
          <w:rFonts w:ascii="黑体" w:hAnsi="黑体" w:eastAsia="黑体"/>
          <w:sz w:val="32"/>
          <w:szCs w:val="32"/>
        </w:rPr>
      </w:pPr>
      <w:r>
        <w:rPr>
          <w:rFonts w:hint="eastAsia" w:ascii="黑体" w:eastAsia="黑体"/>
          <w:sz w:val="32"/>
          <w:szCs w:val="32"/>
        </w:rPr>
        <w:t xml:space="preserve">  </w:t>
      </w:r>
      <w:r>
        <w:rPr>
          <w:rFonts w:hint="eastAsia" w:ascii="黑体" w:hAnsi="黑体" w:eastAsia="黑体"/>
          <w:sz w:val="32"/>
          <w:szCs w:val="32"/>
        </w:rPr>
        <w:t xml:space="preserve">一、2022年财政预算预计执行情况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2022年是党的二十大召开之年，财政工作在区委的领导和上级财政部门的指导下，在区人大</w:t>
      </w:r>
      <w:r>
        <w:rPr>
          <w:rFonts w:hint="eastAsia" w:ascii="仿宋_GB2312" w:hAnsi="仿宋_GB2312" w:eastAsia="仿宋_GB2312" w:cs="仿宋_GB2312"/>
          <w:sz w:val="32"/>
          <w:szCs w:val="32"/>
          <w:lang w:eastAsia="zh-CN"/>
        </w:rPr>
        <w:t>、区政协的</w:t>
      </w:r>
      <w:r>
        <w:rPr>
          <w:rFonts w:hint="eastAsia" w:ascii="仿宋_GB2312" w:hAnsi="仿宋_GB2312" w:eastAsia="仿宋_GB2312" w:cs="仿宋_GB2312"/>
          <w:sz w:val="32"/>
          <w:szCs w:val="32"/>
        </w:rPr>
        <w:t>监督下，坚持以习近平新时代中国特色社会主义思想为指导，紧盯预算执行一个中心任务，坚持做好“两个统筹”工作，贯彻落实“三高四新”战略，围绕“五个</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阳”建设目标，扎实做好“六稳”“六保”</w:t>
      </w:r>
      <w:r>
        <w:rPr>
          <w:rFonts w:hint="eastAsia" w:ascii="仿宋_GB2312" w:hAnsi="宋体" w:eastAsia="仿宋_GB2312"/>
          <w:color w:val="000000"/>
          <w:kern w:val="0"/>
          <w:sz w:val="32"/>
          <w:szCs w:val="32"/>
          <w:vertAlign w:val="superscript"/>
        </w:rPr>
        <w:t>①</w:t>
      </w:r>
      <w:r>
        <w:rPr>
          <w:rFonts w:hint="eastAsia" w:ascii="仿宋_GB2312" w:hAnsi="仿宋_GB2312" w:eastAsia="仿宋_GB2312" w:cs="仿宋_GB2312"/>
          <w:sz w:val="32"/>
          <w:szCs w:val="32"/>
        </w:rPr>
        <w:t>工作，着力防范化解财政运行风险，</w:t>
      </w:r>
      <w:r>
        <w:rPr>
          <w:rFonts w:hint="eastAsia" w:ascii="仿宋_GB2312" w:hAnsi="仿宋_GB2312" w:eastAsia="仿宋_GB2312" w:cs="仿宋_GB2312"/>
          <w:sz w:val="32"/>
          <w:szCs w:val="32"/>
          <w:lang w:eastAsia="zh-CN"/>
        </w:rPr>
        <w:t>推动党的二十大精神落地生效，</w:t>
      </w:r>
      <w:r>
        <w:rPr>
          <w:rFonts w:hint="eastAsia" w:ascii="仿宋_GB2312" w:hAnsi="仿宋_GB2312" w:eastAsia="仿宋_GB2312" w:cs="仿宋_GB2312"/>
          <w:sz w:val="32"/>
          <w:szCs w:val="32"/>
        </w:rPr>
        <w:t>较好地完成了年初确定的各项目标任务，预算执行情况良好，为资阳区经济社会健康发展提供有力财政保障。</w:t>
      </w:r>
    </w:p>
    <w:p>
      <w:pPr>
        <w:spacing w:line="560" w:lineRule="exact"/>
        <w:ind w:firstLine="642"/>
        <w:rPr>
          <w:rFonts w:ascii="楷体_GB2312" w:eastAsia="楷体_GB2312"/>
          <w:b/>
          <w:bCs/>
          <w:sz w:val="32"/>
          <w:szCs w:val="32"/>
        </w:rPr>
      </w:pPr>
      <w:r>
        <w:rPr>
          <w:rFonts w:hint="eastAsia" w:ascii="楷体_GB2312" w:eastAsia="楷体_GB2312"/>
          <w:b/>
          <w:bCs/>
          <w:sz w:val="32"/>
          <w:szCs w:val="32"/>
        </w:rPr>
        <w:t>（一）一般公共预算</w:t>
      </w:r>
    </w:p>
    <w:p>
      <w:pPr>
        <w:spacing w:line="560" w:lineRule="exact"/>
        <w:ind w:firstLine="642"/>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1.一般公共预算收入预计完成情况</w:t>
      </w:r>
    </w:p>
    <w:p>
      <w:pPr>
        <w:autoSpaceDE w:val="0"/>
        <w:autoSpaceDN w:val="0"/>
        <w:adjustRightInd w:val="0"/>
        <w:spacing w:line="560" w:lineRule="exact"/>
        <w:ind w:firstLine="640" w:firstLineChars="200"/>
        <w:rPr>
          <w:rFonts w:ascii="仿宋_GB2312" w:hAnsi="宋体" w:eastAsia="仿宋_GB2312"/>
          <w:b/>
          <w:bCs/>
          <w:color w:val="000000"/>
          <w:kern w:val="0"/>
          <w:sz w:val="32"/>
          <w:szCs w:val="32"/>
        </w:rPr>
      </w:pPr>
      <w:r>
        <w:rPr>
          <w:rFonts w:hint="eastAsia" w:ascii="仿宋_GB2312" w:hAnsi="宋体" w:eastAsia="仿宋_GB2312"/>
          <w:color w:val="000000"/>
          <w:kern w:val="0"/>
          <w:sz w:val="32"/>
          <w:szCs w:val="32"/>
        </w:rPr>
        <w:t>2022年全区完成地方一般公共预算收入</w:t>
      </w:r>
      <w:r>
        <w:rPr>
          <w:rFonts w:hint="eastAsia" w:ascii="仿宋_GB2312" w:eastAsia="仿宋_GB2312"/>
          <w:color w:val="000000"/>
          <w:kern w:val="0"/>
          <w:sz w:val="32"/>
          <w:szCs w:val="32"/>
          <w:vertAlign w:val="superscript"/>
        </w:rPr>
        <w:t>②</w:t>
      </w:r>
      <w:r>
        <w:rPr>
          <w:rFonts w:hint="eastAsia" w:ascii="仿宋_GB2312" w:hAnsi="宋体" w:eastAsia="仿宋_GB2312"/>
          <w:color w:val="000000"/>
          <w:kern w:val="0"/>
          <w:sz w:val="32"/>
          <w:szCs w:val="32"/>
        </w:rPr>
        <w:t>81532万元，同口径增长8.5%。</w:t>
      </w:r>
      <w:r>
        <w:rPr>
          <w:rFonts w:hint="eastAsia" w:ascii="仿宋_GB2312" w:eastAsia="仿宋_GB2312"/>
          <w:color w:val="000000"/>
          <w:kern w:val="0"/>
          <w:sz w:val="32"/>
          <w:szCs w:val="32"/>
        </w:rPr>
        <w:t>地方一般预算收入中纯区级收入</w:t>
      </w:r>
      <w:r>
        <w:rPr>
          <w:rFonts w:hint="eastAsia" w:ascii="仿宋_GB2312" w:eastAsia="仿宋_GB2312"/>
          <w:color w:val="000000"/>
          <w:sz w:val="32"/>
          <w:szCs w:val="32"/>
          <w:vertAlign w:val="superscript"/>
        </w:rPr>
        <w:t>③</w:t>
      </w:r>
      <w:r>
        <w:rPr>
          <w:rFonts w:hint="eastAsia" w:ascii="仿宋_GB2312" w:eastAsia="仿宋_GB2312"/>
          <w:color w:val="000000"/>
          <w:kern w:val="0"/>
          <w:sz w:val="32"/>
          <w:szCs w:val="32"/>
        </w:rPr>
        <w:t>44081万元。</w:t>
      </w:r>
      <w:r>
        <w:rPr>
          <w:rFonts w:hint="eastAsia" w:ascii="仿宋_GB2312" w:eastAsia="仿宋_GB2312"/>
          <w:color w:val="000000"/>
          <w:sz w:val="32"/>
          <w:szCs w:val="32"/>
        </w:rPr>
        <w:t>税收返还收入4693万元，财力性转移支付收入</w:t>
      </w:r>
      <w:r>
        <w:rPr>
          <w:rFonts w:hint="eastAsia" w:ascii="仿宋_GB2312" w:eastAsia="仿宋_GB2312"/>
          <w:color w:val="000000"/>
          <w:sz w:val="32"/>
          <w:szCs w:val="32"/>
          <w:vertAlign w:val="superscript"/>
        </w:rPr>
        <w:t>④</w:t>
      </w:r>
      <w:r>
        <w:rPr>
          <w:rFonts w:hint="eastAsia" w:ascii="仿宋_GB2312" w:eastAsia="仿宋_GB2312"/>
          <w:color w:val="000000"/>
          <w:sz w:val="32"/>
          <w:szCs w:val="32"/>
        </w:rPr>
        <w:t>115794万元，财力性转移支付增量16951万元，专项用途一般性转移支付收入</w:t>
      </w:r>
      <w:r>
        <w:rPr>
          <w:rFonts w:hint="eastAsia" w:ascii="仿宋_GB2312" w:eastAsia="仿宋_GB2312"/>
          <w:color w:val="000000"/>
          <w:kern w:val="0"/>
          <w:sz w:val="32"/>
          <w:szCs w:val="32"/>
          <w:vertAlign w:val="superscript"/>
        </w:rPr>
        <w:t>⑤</w:t>
      </w:r>
      <w:r>
        <w:rPr>
          <w:rFonts w:hint="eastAsia" w:ascii="仿宋_GB2312" w:eastAsia="仿宋_GB2312"/>
          <w:color w:val="000000"/>
          <w:sz w:val="32"/>
          <w:szCs w:val="32"/>
        </w:rPr>
        <w:t>65000万元，专项转移支付收入28000万元，新增债券转贷收入27400万元，上年结转31863万元，调入预算稳定调节资金11924万元，调入资金39295万元，再融资一般债券转贷收入45842万元。全年</w:t>
      </w:r>
      <w:r>
        <w:rPr>
          <w:rFonts w:hint="eastAsia" w:ascii="仿宋_GB2312" w:eastAsia="仿宋_GB2312"/>
          <w:color w:val="000000"/>
          <w:kern w:val="0"/>
          <w:sz w:val="32"/>
          <w:szCs w:val="32"/>
        </w:rPr>
        <w:t>收入总额</w:t>
      </w:r>
      <w:r>
        <w:rPr>
          <w:rFonts w:hint="eastAsia" w:ascii="仿宋_GB2312" w:eastAsia="仿宋_GB2312"/>
          <w:color w:val="000000"/>
          <w:sz w:val="32"/>
          <w:szCs w:val="32"/>
        </w:rPr>
        <w:t>430843万元。</w:t>
      </w:r>
    </w:p>
    <w:p>
      <w:pPr>
        <w:autoSpaceDE w:val="0"/>
        <w:autoSpaceDN w:val="0"/>
        <w:adjustRightInd w:val="0"/>
        <w:spacing w:line="560" w:lineRule="exact"/>
        <w:ind w:firstLine="643" w:firstLineChars="200"/>
        <w:rPr>
          <w:rFonts w:ascii="仿宋_GB2312" w:hAnsi="仿宋_GB2312" w:eastAsia="仿宋_GB2312" w:cs="仿宋_GB2312"/>
          <w:b/>
          <w:bCs/>
          <w:color w:val="000000"/>
          <w:sz w:val="32"/>
          <w:szCs w:val="32"/>
          <w:shd w:val="clear" w:color="FFFFFF" w:fill="D9D9D9"/>
        </w:rPr>
      </w:pPr>
      <w:r>
        <w:rPr>
          <w:rFonts w:hint="eastAsia" w:ascii="仿宋_GB2312" w:hAnsi="仿宋_GB2312" w:eastAsia="仿宋_GB2312" w:cs="仿宋_GB2312"/>
          <w:b/>
          <w:bCs/>
          <w:color w:val="000000"/>
          <w:sz w:val="32"/>
          <w:szCs w:val="32"/>
        </w:rPr>
        <w:t>2.一般公共预算支出预计完成情况</w:t>
      </w:r>
    </w:p>
    <w:p>
      <w:pPr>
        <w:autoSpaceDE w:val="0"/>
        <w:autoSpaceDN w:val="0"/>
        <w:adjustRightIn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2022年全区完成一般公共预算支出</w:t>
      </w:r>
      <w:r>
        <w:rPr>
          <w:rFonts w:hint="eastAsia" w:ascii="仿宋_GB2312" w:eastAsia="仿宋_GB2312"/>
          <w:color w:val="000000"/>
          <w:kern w:val="0"/>
          <w:sz w:val="32"/>
          <w:szCs w:val="32"/>
          <w:vertAlign w:val="superscript"/>
        </w:rPr>
        <w:t>⑥</w:t>
      </w:r>
      <w:r>
        <w:rPr>
          <w:rFonts w:hint="eastAsia" w:ascii="仿宋_GB2312" w:eastAsia="仿宋_GB2312"/>
          <w:color w:val="000000"/>
          <w:kern w:val="0"/>
          <w:sz w:val="32"/>
          <w:szCs w:val="32"/>
        </w:rPr>
        <w:t>280610万元，比上年实际支出增加30065万元，增长</w:t>
      </w:r>
      <w:r>
        <w:rPr>
          <w:rFonts w:hint="eastAsia" w:ascii="仿宋_GB2312" w:eastAsia="仿宋_GB2312"/>
          <w:color w:val="000000"/>
          <w:kern w:val="0"/>
          <w:sz w:val="32"/>
          <w:szCs w:val="32"/>
          <w:lang w:val="en-US" w:eastAsia="zh-CN"/>
        </w:rPr>
        <w:t>12</w:t>
      </w:r>
      <w:r>
        <w:rPr>
          <w:rFonts w:hint="eastAsia" w:ascii="仿宋_GB2312" w:eastAsia="仿宋_GB2312"/>
          <w:color w:val="000000"/>
          <w:kern w:val="0"/>
          <w:sz w:val="32"/>
          <w:szCs w:val="32"/>
        </w:rPr>
        <w:t>%，本级财政支出181123万元。</w:t>
      </w:r>
    </w:p>
    <w:p>
      <w:pPr>
        <w:pStyle w:val="2"/>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3.收支平衡情况</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收入总计430843万元，一般公共预算支出280610万元，新增一般债券形成的支出27400万元，上解上级支出14215万元，补充预算稳定调节基金11953万元，地方政府债券还本支出45842万元，结转下年支出50823万元。其中，区级可用财力181123万元，对应安排区级财政支出181123万元，本级财政收支平衡。</w:t>
      </w:r>
    </w:p>
    <w:p>
      <w:pPr>
        <w:pStyle w:val="2"/>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（二）政府性基金</w:t>
      </w:r>
    </w:p>
    <w:p>
      <w:pPr>
        <w:spacing w:line="560" w:lineRule="exact"/>
        <w:ind w:left="13" w:leftChars="6" w:firstLine="640" w:firstLineChars="200"/>
        <w:rPr>
          <w:rFonts w:ascii="仿宋_GB2312" w:eastAsia="仿宋_GB2312"/>
          <w:sz w:val="32"/>
          <w:szCs w:val="32"/>
        </w:rPr>
      </w:pPr>
      <w:r>
        <w:rPr>
          <w:rFonts w:hint="eastAsia" w:ascii="仿宋_GB2312" w:eastAsia="仿宋_GB2312"/>
          <w:sz w:val="32"/>
          <w:szCs w:val="32"/>
        </w:rPr>
        <w:t>2022年全区完成政府性基金收入总计137239万元。地方政府性基金收入15179万元，其中：国有土地使用权出让收入预计完成15089万元，城市基础设施配套费收入90万元；上级补助收入（含市级返还国有土地使用权出让</w:t>
      </w:r>
      <w:r>
        <w:rPr>
          <w:rFonts w:hint="eastAsia" w:ascii="仿宋_GB2312" w:eastAsia="仿宋_GB2312"/>
          <w:color w:val="000000"/>
          <w:sz w:val="32"/>
          <w:szCs w:val="32"/>
        </w:rPr>
        <w:t>收入</w:t>
      </w:r>
      <w:r>
        <w:rPr>
          <w:rFonts w:hint="eastAsia" w:ascii="仿宋_GB2312" w:eastAsia="仿宋_GB2312"/>
          <w:sz w:val="32"/>
          <w:szCs w:val="32"/>
        </w:rPr>
        <w:t>）49675万元；专项债券收入51900万元；上年结转20485万元。2022年预计完成政府性基金支出总计137239万元，其中：政府性基金支出107359万元（含专项债券付息支出4026万元）；调出资金21395万元；上解支出45万元；结转下年支出8440万元。当年收支平衡。</w:t>
      </w:r>
    </w:p>
    <w:p>
      <w:pPr>
        <w:spacing w:line="560" w:lineRule="exact"/>
        <w:ind w:left="13" w:leftChars="6" w:firstLine="643" w:firstLineChars="200"/>
        <w:rPr>
          <w:rFonts w:ascii="仿宋_GB2312" w:hAnsi="宋体" w:eastAsia="仿宋_GB2312"/>
          <w:sz w:val="32"/>
          <w:szCs w:val="32"/>
        </w:rPr>
      </w:pPr>
      <w:r>
        <w:rPr>
          <w:rFonts w:hint="eastAsia" w:ascii="楷体_GB2312" w:eastAsia="楷体_GB2312"/>
          <w:b/>
          <w:sz w:val="32"/>
          <w:szCs w:val="32"/>
        </w:rPr>
        <w:t>（三）社会保险基金</w:t>
      </w:r>
    </w:p>
    <w:p>
      <w:pPr>
        <w:spacing w:line="560" w:lineRule="exact"/>
        <w:ind w:left="13" w:leftChars="6" w:firstLine="640" w:firstLineChars="200"/>
        <w:rPr>
          <w:rFonts w:ascii="仿宋_GB2312" w:hAnsi="宋体" w:eastAsia="仿宋_GB2312"/>
          <w:sz w:val="32"/>
          <w:szCs w:val="32"/>
        </w:rPr>
      </w:pPr>
      <w:r>
        <w:rPr>
          <w:rFonts w:hint="eastAsia" w:ascii="仿宋_GB2312" w:hAnsi="宋体" w:eastAsia="仿宋_GB2312"/>
          <w:sz w:val="32"/>
          <w:szCs w:val="32"/>
        </w:rPr>
        <w:t>社保基金预算收入48770万元，为预算的111%，增长16.20%。其中：社会保险费收入18408万元，财政补贴收入28414万元，利息收入135万元，转移收入1226万元，其他收入587万元。加上年结余31463万元，收入合计80233万元。</w:t>
      </w:r>
    </w:p>
    <w:p>
      <w:pPr>
        <w:spacing w:line="560" w:lineRule="exact"/>
        <w:ind w:left="13" w:leftChars="6" w:firstLine="640" w:firstLineChars="200"/>
        <w:rPr>
          <w:rFonts w:ascii="仿宋_GB2312" w:hAnsi="宋体" w:eastAsia="仿宋_GB2312"/>
          <w:sz w:val="32"/>
          <w:szCs w:val="32"/>
        </w:rPr>
      </w:pPr>
      <w:r>
        <w:rPr>
          <w:rFonts w:hint="eastAsia" w:ascii="仿宋_GB2312" w:hAnsi="宋体" w:eastAsia="仿宋_GB2312"/>
          <w:sz w:val="32"/>
          <w:szCs w:val="32"/>
        </w:rPr>
        <w:t>社保基金预算支出4395</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万元，为预算的108%，增长10.62%。其中：社会保险待遇支出42583万元，转移支出1073万元，其他支出248万元，上解上级支出48万元。收支相抵，当年结余4818万元；年末滚存结余36281万元。</w:t>
      </w:r>
    </w:p>
    <w:p>
      <w:pPr>
        <w:pStyle w:val="2"/>
        <w:spacing w:line="560" w:lineRule="exact"/>
        <w:ind w:firstLine="643" w:firstLineChars="200"/>
        <w:rPr>
          <w:rFonts w:ascii="楷体_GB2312" w:eastAsia="楷体_GB2312"/>
          <w:b/>
          <w:sz w:val="32"/>
          <w:szCs w:val="32"/>
        </w:rPr>
      </w:pPr>
      <w:r>
        <w:rPr>
          <w:rFonts w:hint="eastAsia" w:ascii="楷体_GB2312" w:eastAsia="楷体_GB2312"/>
          <w:b/>
          <w:sz w:val="32"/>
          <w:szCs w:val="32"/>
        </w:rPr>
        <w:t>（四）全区政府债务情况</w:t>
      </w:r>
    </w:p>
    <w:p>
      <w:pPr>
        <w:spacing w:line="560" w:lineRule="exact"/>
        <w:ind w:firstLine="640" w:firstLineChars="200"/>
      </w:pPr>
      <w:r>
        <w:rPr>
          <w:rFonts w:hint="eastAsia" w:ascii="仿宋_GB2312" w:hAnsi="仿宋_GB2312" w:eastAsia="仿宋_GB2312" w:cs="仿宋_GB2312"/>
          <w:sz w:val="32"/>
          <w:szCs w:val="32"/>
        </w:rPr>
        <w:t>至年末，全区地方政府债务余额</w:t>
      </w:r>
      <w:r>
        <w:rPr>
          <w:rFonts w:hint="eastAsia" w:ascii="仿宋_GB2312" w:hAnsi="宋体" w:eastAsia="仿宋_GB2312" w:cs="仿宋_GB2312"/>
          <w:bCs/>
          <w:color w:val="000000"/>
          <w:sz w:val="32"/>
          <w:szCs w:val="32"/>
        </w:rPr>
        <w:t>39.77</w:t>
      </w:r>
      <w:r>
        <w:rPr>
          <w:rFonts w:hint="eastAsia" w:ascii="仿宋_GB2312" w:hAnsi="仿宋_GB2312" w:eastAsia="仿宋_GB2312" w:cs="仿宋_GB2312"/>
          <w:sz w:val="32"/>
          <w:szCs w:val="32"/>
        </w:rPr>
        <w:t>亿元，全年债务付息支出合计1.04亿元，其中一般债券付息0.64亿元，专项债券付息0.4亿元。预计全年化解隐性债务4亿元，为中央下达任务的116.28%。</w:t>
      </w:r>
      <w:r>
        <w:rPr>
          <w:rFonts w:hint="eastAsia" w:ascii="仿宋_GB2312" w:hAnsi="宋体" w:eastAsia="仿宋_GB2312" w:cs="仿宋_GB2312"/>
          <w:bCs/>
          <w:color w:val="000000"/>
          <w:sz w:val="32"/>
          <w:szCs w:val="32"/>
        </w:rPr>
        <w:t>我区无逾期债务，未发生债务风险事件。</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（五）2022年财政工作特点</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转思路、拓渠道，显著提高增收能力</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一是政策扶持有加强。</w:t>
      </w:r>
      <w:r>
        <w:rPr>
          <w:rFonts w:hint="eastAsia" w:ascii="仿宋_GB2312" w:hAnsi="仿宋_GB2312" w:eastAsia="仿宋_GB2312" w:cs="仿宋_GB2312"/>
          <w:sz w:val="32"/>
          <w:szCs w:val="32"/>
        </w:rPr>
        <w:t>发挥财政资金的杠杆效应，安排3344万元用于产业扶持、产业引导、企业上市扶持及人才引进；坚决落实中央新组合式减税降费政策，截至目前申请留抵退税的企业共157户，金额32220万元，已完成139户。下半年以来，以奥士康为代表的多家企业减税回补效应明显。</w:t>
      </w:r>
      <w:r>
        <w:rPr>
          <w:rFonts w:hint="eastAsia" w:ascii="仿宋_GB2312" w:hAnsi="仿宋_GB2312" w:eastAsia="仿宋_GB2312" w:cs="仿宋_GB2312"/>
          <w:b/>
          <w:bCs/>
          <w:sz w:val="32"/>
          <w:szCs w:val="32"/>
        </w:rPr>
        <w:t>二是立项争资有突破。</w:t>
      </w:r>
      <w:r>
        <w:rPr>
          <w:rFonts w:hint="eastAsia" w:ascii="仿宋_GB2312" w:hAnsi="仿宋_GB2312" w:eastAsia="仿宋_GB2312" w:cs="仿宋_GB2312"/>
          <w:sz w:val="32"/>
          <w:szCs w:val="32"/>
        </w:rPr>
        <w:t>通过积极对接省市，</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年争取一次性财力补助</w:t>
      </w:r>
      <w:r>
        <w:rPr>
          <w:rFonts w:ascii="仿宋_GB2312" w:hAnsi="仿宋_GB2312" w:eastAsia="仿宋_GB2312" w:cs="仿宋_GB2312"/>
          <w:sz w:val="32"/>
          <w:szCs w:val="32"/>
        </w:rPr>
        <w:t>16951</w:t>
      </w:r>
      <w:r>
        <w:rPr>
          <w:rFonts w:hint="eastAsia" w:ascii="仿宋_GB2312" w:hAnsi="仿宋_GB2312" w:eastAsia="仿宋_GB2312" w:cs="仿宋_GB2312"/>
          <w:sz w:val="32"/>
          <w:szCs w:val="32"/>
        </w:rPr>
        <w:t>万元，同比增长133%；</w:t>
      </w:r>
      <w:r>
        <w:rPr>
          <w:rFonts w:hint="eastAsia" w:ascii="仿宋_GB2312" w:hAnsi="仿宋_GB2312" w:eastAsia="仿宋_GB2312" w:cs="仿宋_GB2312"/>
          <w:sz w:val="32"/>
          <w:szCs w:val="32"/>
          <w:lang w:eastAsia="zh-CN"/>
        </w:rPr>
        <w:t>争取</w:t>
      </w:r>
      <w:r>
        <w:rPr>
          <w:rFonts w:hint="eastAsia" w:ascii="仿宋_GB2312" w:hAnsi="仿宋_GB2312" w:eastAsia="仿宋_GB2312" w:cs="仿宋_GB2312"/>
          <w:sz w:val="32"/>
          <w:szCs w:val="32"/>
        </w:rPr>
        <w:t>债券</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7.93亿元，同比增长93</w:t>
      </w:r>
      <w:r>
        <w:rPr>
          <w:rFonts w:ascii="仿宋_GB2312" w:hAnsi="仿宋_GB2312" w:eastAsia="仿宋_GB2312" w:cs="仿宋_GB2312"/>
          <w:sz w:val="32"/>
          <w:szCs w:val="32"/>
        </w:rPr>
        <w:t>.41</w:t>
      </w:r>
      <w:r>
        <w:rPr>
          <w:rFonts w:hint="eastAsia" w:ascii="仿宋_GB2312" w:hAnsi="仿宋_GB2312" w:eastAsia="仿宋_GB2312" w:cs="仿宋_GB2312"/>
          <w:sz w:val="32"/>
          <w:szCs w:val="32"/>
        </w:rPr>
        <w:t>%，其中一般债券增加2.09亿元，专项债券增加1.74亿元。两项皆创历史新高。三</w:t>
      </w:r>
      <w:r>
        <w:rPr>
          <w:rFonts w:hint="eastAsia" w:ascii="仿宋_GB2312" w:hAnsi="仿宋_GB2312" w:eastAsia="仿宋_GB2312" w:cs="仿宋_GB2312"/>
          <w:b/>
          <w:bCs/>
          <w:sz w:val="32"/>
          <w:szCs w:val="32"/>
        </w:rPr>
        <w:t>是培育税源有成果。</w:t>
      </w:r>
      <w:r>
        <w:rPr>
          <w:rFonts w:hint="eastAsia" w:ascii="仿宋_GB2312" w:hAnsi="仿宋_GB2312" w:eastAsia="仿宋_GB2312" w:cs="仿宋_GB2312"/>
          <w:sz w:val="32"/>
          <w:szCs w:val="32"/>
        </w:rPr>
        <w:t>制定骨干税源企业上台阶行动方案，年度纳税500万元以上企业达到27户以上；纳税1亿元以上的2户，分别是口味王和奥士康。</w:t>
      </w:r>
      <w:r>
        <w:rPr>
          <w:rFonts w:hint="eastAsia" w:ascii="仿宋_GB2312" w:hAnsi="仿宋_GB2312" w:eastAsia="仿宋_GB2312" w:cs="仿宋_GB2312"/>
          <w:b/>
          <w:bCs/>
          <w:sz w:val="32"/>
          <w:szCs w:val="32"/>
        </w:rPr>
        <w:t>四是综合治税有成效。</w:t>
      </w:r>
      <w:r>
        <w:rPr>
          <w:rFonts w:hint="eastAsia" w:ascii="仿宋_GB2312" w:hAnsi="仿宋_GB2312" w:eastAsia="仿宋_GB2312" w:cs="仿宋_GB2312"/>
          <w:sz w:val="32"/>
          <w:szCs w:val="32"/>
        </w:rPr>
        <w:t>加强建安房地产税收征管和涉税数据治理。区财源办、税控办、发改、财政、住建、税务等部门健全跨部门涉税信息共享机制，确保辖区内税收属地入库、应收尽收。积极开展行业稽查、税收清欠等专项行动，增加税收6323万元，确保了收入颗粒归仓，为高质量完成全年税收收入目标奠定了基础。</w:t>
      </w:r>
      <w:r>
        <w:rPr>
          <w:rFonts w:hint="eastAsia" w:ascii="仿宋_GB2312" w:hAnsi="仿宋_GB2312" w:eastAsia="仿宋_GB2312" w:cs="仿宋_GB2312"/>
          <w:b/>
          <w:bCs/>
          <w:sz w:val="32"/>
          <w:szCs w:val="32"/>
        </w:rPr>
        <w:t>五是园区发展有劲头。</w:t>
      </w:r>
      <w:r>
        <w:rPr>
          <w:rFonts w:hint="eastAsia" w:ascii="仿宋_GB2312" w:hAnsi="仿宋_GB2312" w:eastAsia="仿宋_GB2312" w:cs="仿宋_GB2312"/>
          <w:sz w:val="32"/>
          <w:szCs w:val="32"/>
        </w:rPr>
        <w:t>加大财政投入，聚焦“五好”园区创建，支持长春经开区打造特色产业集群，招优引强，实现产业链延伸。</w:t>
      </w:r>
      <w:r>
        <w:rPr>
          <w:rFonts w:hint="eastAsia" w:ascii="仿宋_GB2312" w:hAnsi="仿宋_GB2312" w:eastAsia="仿宋_GB2312" w:cs="仿宋_GB2312"/>
          <w:sz w:val="32"/>
          <w:szCs w:val="32"/>
          <w:lang w:eastAsia="zh-CN"/>
        </w:rPr>
        <w:t>据目前统计数</w:t>
      </w:r>
      <w:r>
        <w:rPr>
          <w:rFonts w:hint="eastAsia" w:ascii="仿宋_GB2312" w:hAnsi="仿宋_GB2312" w:eastAsia="仿宋_GB2312" w:cs="仿宋_GB2312"/>
          <w:sz w:val="32"/>
          <w:szCs w:val="32"/>
        </w:rPr>
        <w:t>，长春经开区实现规模工业总产值304.2亿元，同比增长13.43%；累计新开工项目21个，新投产项目18个；累计成功新增入规企业5家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园区上缴工业税收5.96亿元，同比增长50.16%。</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2.增投入、稳重点，优先保障民生民利</w:t>
      </w:r>
    </w:p>
    <w:p>
      <w:pPr>
        <w:pStyle w:val="9"/>
        <w:widowControl/>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eastAsia="仿宋_GB2312"/>
          <w:bCs/>
          <w:sz w:val="32"/>
        </w:rPr>
        <w:t>心怀“国之大者”，始终将民生支出放在财政支出的优先位置，确保民生支出占一般公共预算支出比重稳定在75%以上。一</w:t>
      </w:r>
      <w:r>
        <w:rPr>
          <w:rFonts w:hint="eastAsia" w:ascii="仿宋_GB2312" w:eastAsia="仿宋_GB2312"/>
          <w:b/>
          <w:sz w:val="32"/>
        </w:rPr>
        <w:t>是增加社会保障投入，保障民生福祉。</w:t>
      </w:r>
      <w:r>
        <w:rPr>
          <w:rFonts w:hint="eastAsia" w:ascii="仿宋_GB2312" w:eastAsia="仿宋_GB2312"/>
          <w:bCs/>
          <w:sz w:val="32"/>
        </w:rPr>
        <w:t>积极落实高龄养老津贴、城乡居民低保、城乡特困人员补助、困难残疾人生活补贴和重度残疾人护理补贴提标等各项政策；完善就业配套措施，持续扩大失业保险保障范围。</w:t>
      </w:r>
      <w:r>
        <w:rPr>
          <w:rFonts w:hint="eastAsia" w:ascii="仿宋_GB2312" w:hAnsi="仿宋_GB2312" w:eastAsia="仿宋_GB2312" w:cs="仿宋_GB2312"/>
          <w:kern w:val="2"/>
          <w:sz w:val="32"/>
          <w:szCs w:val="32"/>
        </w:rPr>
        <w:t>预计全年社会保障和就业保障支出4.95亿元。二</w:t>
      </w:r>
      <w:r>
        <w:rPr>
          <w:rFonts w:hint="eastAsia" w:ascii="仿宋_GB2312" w:eastAsia="仿宋_GB2312"/>
          <w:b/>
          <w:sz w:val="32"/>
        </w:rPr>
        <w:t>是增加教育投入，保障教育事业发展。</w:t>
      </w:r>
      <w:r>
        <w:rPr>
          <w:rFonts w:hint="eastAsia" w:ascii="仿宋_GB2312" w:eastAsia="仿宋_GB2312"/>
          <w:bCs/>
          <w:sz w:val="32"/>
        </w:rPr>
        <w:t>百年大计，教育为本。不断</w:t>
      </w:r>
      <w:r>
        <w:rPr>
          <w:rFonts w:hint="eastAsia" w:ascii="仿宋_GB2312" w:hAnsi="仿宋_GB2312" w:eastAsia="仿宋_GB2312" w:cs="仿宋_GB2312"/>
          <w:sz w:val="32"/>
          <w:szCs w:val="32"/>
        </w:rPr>
        <w:t>优化农村学校基本办学条件；提高乡镇寄宿制学校和乡村小规模学校建设标准；统筹资金确保“民转公”任务按时完成，促进教育资源合理分配，缩小城乡差距。教育大计，教师为本。着重保障中小学教师工资待遇不低于我区公务员平均工资收入水平；持续实施乡村教师岗位补助；落实公办幼儿园教师工资待遇；加大保障性住房供应力度，解决教师队伍住房难问题。</w:t>
      </w:r>
      <w:r>
        <w:rPr>
          <w:rFonts w:hint="eastAsia" w:ascii="仿宋_GB2312" w:hAnsi="仿宋_GB2312" w:eastAsia="仿宋_GB2312" w:cs="仿宋_GB2312"/>
          <w:kern w:val="2"/>
          <w:sz w:val="32"/>
          <w:szCs w:val="32"/>
        </w:rPr>
        <w:t>预计</w:t>
      </w:r>
      <w:r>
        <w:rPr>
          <w:rFonts w:hint="eastAsia" w:ascii="仿宋_GB2312" w:eastAsia="仿宋_GB2312"/>
          <w:bCs/>
          <w:sz w:val="32"/>
        </w:rPr>
        <w:t>全年</w:t>
      </w:r>
      <w:r>
        <w:rPr>
          <w:rFonts w:hint="eastAsia" w:ascii="仿宋_GB2312" w:hAnsi="仿宋_GB2312" w:eastAsia="仿宋_GB2312" w:cs="仿宋_GB2312"/>
          <w:kern w:val="2"/>
          <w:sz w:val="32"/>
          <w:szCs w:val="32"/>
        </w:rPr>
        <w:t>教育支出4.73亿元。三</w:t>
      </w:r>
      <w:r>
        <w:rPr>
          <w:rFonts w:hint="eastAsia" w:ascii="仿宋_GB2312" w:hAnsi="仿宋_GB2312" w:eastAsia="仿宋_GB2312" w:cs="仿宋_GB2312"/>
          <w:b/>
          <w:bCs/>
          <w:sz w:val="32"/>
          <w:szCs w:val="32"/>
        </w:rPr>
        <w:t>是增加医疗卫生投入，保障人民健康。</w:t>
      </w:r>
      <w:r>
        <w:rPr>
          <w:rFonts w:hint="eastAsia" w:ascii="仿宋_GB2312" w:hAnsi="仿宋_GB2312" w:eastAsia="仿宋_GB2312" w:cs="仿宋_GB2312"/>
          <w:sz w:val="32"/>
          <w:szCs w:val="32"/>
        </w:rPr>
        <w:t>继续支持疫情防控和救治工作能力提升，提高基本医疗卫生服务水平，实现医疗卫生投入稳步增长。</w:t>
      </w:r>
      <w:r>
        <w:rPr>
          <w:rFonts w:hint="eastAsia" w:ascii="仿宋_GB2312" w:hAnsi="仿宋_GB2312" w:eastAsia="仿宋_GB2312" w:cs="仿宋_GB2312"/>
          <w:kern w:val="2"/>
          <w:sz w:val="32"/>
          <w:szCs w:val="32"/>
        </w:rPr>
        <w:t>预计</w:t>
      </w:r>
      <w:r>
        <w:rPr>
          <w:rFonts w:hint="eastAsia" w:ascii="仿宋_GB2312" w:hAnsi="仿宋_GB2312" w:eastAsia="仿宋_GB2312" w:cs="仿宋_GB2312"/>
          <w:sz w:val="32"/>
          <w:szCs w:val="32"/>
        </w:rPr>
        <w:t>全年</w:t>
      </w:r>
      <w:r>
        <w:rPr>
          <w:rFonts w:hint="eastAsia" w:ascii="仿宋_GB2312" w:hAnsi="仿宋_GB2312" w:eastAsia="仿宋_GB2312" w:cs="仿宋_GB2312"/>
          <w:kern w:val="2"/>
          <w:sz w:val="32"/>
          <w:szCs w:val="32"/>
        </w:rPr>
        <w:t>卫生健康经费支出2.85亿元。</w:t>
      </w:r>
      <w:r>
        <w:rPr>
          <w:rFonts w:hint="eastAsia" w:ascii="仿宋_GB2312" w:hAnsi="仿宋_GB2312" w:eastAsia="仿宋_GB2312" w:cs="仿宋_GB2312"/>
          <w:b/>
          <w:bCs/>
          <w:kern w:val="2"/>
          <w:sz w:val="32"/>
          <w:szCs w:val="32"/>
        </w:rPr>
        <w:t>四</w:t>
      </w:r>
      <w:r>
        <w:rPr>
          <w:rFonts w:hint="eastAsia" w:ascii="仿宋_GB2312" w:eastAsia="仿宋_GB2312"/>
          <w:b/>
          <w:sz w:val="32"/>
        </w:rPr>
        <w:t>是增加抗旱救灾投入，保障粮食安全。</w:t>
      </w:r>
      <w:r>
        <w:rPr>
          <w:rFonts w:hint="eastAsia" w:ascii="仿宋_GB2312" w:eastAsia="仿宋_GB2312"/>
          <w:bCs/>
          <w:sz w:val="32"/>
        </w:rPr>
        <w:t>今年夏秋持续高温干旱，我区出现罕见旱情，农业生产面临前所未有的挑战，财政累计下达抗旱资金1010万元，积极作为降低灾害影响，确保农民增收；全年投入2711万元用于高标准农田建设项目，稳步提高农田综合质量；投入708万元用于耕地轮作休耕，做到永久基本农田重点用于粮食生产，高标准农田原则上用于粮食生产；加强农资供应调度与涉粮资金监管，按时完成5000吨肥料淡储和275吨早稻常规种子储备任务；抓好21.9万亩早稻专业化集中育秧任务、双季稻万亩示范片建设任务，严格落实粮食生产奖补引导资金,通过适度规模经营补贴提高农户种粮积极性，全年发放耕地地力补贴资金5261万元、种粮农民一次性补贴资金2458万元。</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3.定计划、多举措，切实降低债务风险</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一是定期召开债务联席工作会议，实行一季一调度机制。</w:t>
      </w:r>
      <w:r>
        <w:rPr>
          <w:rFonts w:hint="eastAsia" w:ascii="仿宋_GB2312" w:hAnsi="仿宋_GB2312" w:eastAsia="仿宋_GB2312" w:cs="仿宋_GB2312"/>
          <w:sz w:val="32"/>
          <w:szCs w:val="32"/>
        </w:rPr>
        <w:t>听取防范化解风险工作情况汇报，分析研判潜在风险隐患，研究贯彻落实中央、省、市防范化解风险工作决策部署的具体措施，协调解决好工作中存在的困难和问题，确保重大风险防范化解工作有序推进。二</w:t>
      </w:r>
      <w:r>
        <w:rPr>
          <w:rFonts w:hint="eastAsia" w:ascii="仿宋_GB2312" w:hAnsi="仿宋_GB2312" w:eastAsia="仿宋_GB2312" w:cs="仿宋_GB2312"/>
          <w:b/>
          <w:bCs/>
          <w:sz w:val="32"/>
          <w:szCs w:val="32"/>
        </w:rPr>
        <w:t>是整章建制，完善和加强政府债务管理制度。</w:t>
      </w:r>
      <w:r>
        <w:rPr>
          <w:rFonts w:hint="eastAsia" w:ascii="仿宋_GB2312" w:hAnsi="仿宋_GB2312" w:eastAsia="仿宋_GB2312" w:cs="仿宋_GB2312"/>
          <w:sz w:val="32"/>
          <w:szCs w:val="32"/>
        </w:rPr>
        <w:t>将地方政府债务分类纳入全口径预算管理，建立了政府债务情况随同预算公开的常态机制；制定并印发了《资阳区规范融资管理办法》，规范了我区举债融资操作程序，明晰职责，强化监督和约束；严格《资阳区单位投资建设项目管理办法》执行，加强工程建设项目管理，规范行政事业单位项目建设投资行为，严防行政事业单位项目建设引发政府债务风险。</w:t>
      </w:r>
      <w:r>
        <w:rPr>
          <w:rFonts w:hint="eastAsia" w:ascii="仿宋_GB2312" w:hAnsi="仿宋_GB2312" w:eastAsia="仿宋_GB2312" w:cs="仿宋_GB2312"/>
          <w:b/>
          <w:bCs/>
          <w:sz w:val="32"/>
          <w:szCs w:val="32"/>
        </w:rPr>
        <w:t>三是强化绩效运行，提高债券资金使用效益。</w:t>
      </w:r>
      <w:r>
        <w:rPr>
          <w:rFonts w:hint="eastAsia" w:ascii="仿宋_GB2312" w:hAnsi="仿宋_GB2312" w:eastAsia="仿宋_GB2312" w:cs="仿宋_GB2312"/>
          <w:sz w:val="32"/>
          <w:szCs w:val="32"/>
        </w:rPr>
        <w:t>坚持“资金跟着项目走”的原则，强化绩效导向，积极开展事前绩效评估，规范绩效目标编制，严格实行绩效运行监控，着力提高债券资金使用效益， 避免债券资金沉淀、挤占、挪用。</w:t>
      </w:r>
    </w:p>
    <w:p>
      <w:pPr>
        <w:spacing w:line="560" w:lineRule="exact"/>
        <w:ind w:firstLine="643" w:firstLineChars="200"/>
      </w:pPr>
      <w:r>
        <w:rPr>
          <w:rFonts w:hint="eastAsia" w:ascii="仿宋_GB2312" w:hAnsi="仿宋_GB2312" w:eastAsia="仿宋_GB2312" w:cs="仿宋_GB2312"/>
          <w:b/>
          <w:bCs/>
          <w:sz w:val="32"/>
          <w:szCs w:val="32"/>
        </w:rPr>
        <w:t>4.重协调、谋统筹，持续推进乡村振兴</w:t>
      </w:r>
    </w:p>
    <w:p>
      <w:pPr>
        <w:spacing w:line="560" w:lineRule="exact"/>
        <w:ind w:firstLine="643" w:firstLineChars="200"/>
        <w:rPr>
          <w:rFonts w:ascii="仿宋_GB2312" w:hAnsi="仿宋_GB2312" w:eastAsia="仿宋_GB2312" w:cs="仿宋_GB2312"/>
        </w:rPr>
      </w:pPr>
      <w:r>
        <w:rPr>
          <w:rFonts w:hint="eastAsia" w:ascii="仿宋_GB2312" w:hAnsi="仿宋_GB2312" w:eastAsia="仿宋_GB2312" w:cs="仿宋_GB2312"/>
          <w:b/>
          <w:sz w:val="32"/>
        </w:rPr>
        <w:t>一是增加乡村振兴投入</w:t>
      </w:r>
      <w:r>
        <w:rPr>
          <w:rFonts w:hint="eastAsia" w:ascii="仿宋_GB2312" w:hAnsi="仿宋_GB2312" w:eastAsia="仿宋_GB2312" w:cs="仿宋_GB2312"/>
          <w:bCs/>
          <w:sz w:val="32"/>
        </w:rPr>
        <w:t>。2022年</w:t>
      </w:r>
      <w:r>
        <w:rPr>
          <w:rFonts w:hint="eastAsia" w:ascii="仿宋_GB2312" w:hAnsi="仿宋_GB2312" w:eastAsia="仿宋_GB2312" w:cs="仿宋_GB2312"/>
          <w:bCs/>
          <w:sz w:val="32"/>
          <w:lang w:eastAsia="zh-CN"/>
        </w:rPr>
        <w:t>预计</w:t>
      </w:r>
      <w:r>
        <w:rPr>
          <w:rFonts w:hint="eastAsia" w:ascii="仿宋_GB2312" w:hAnsi="仿宋_GB2312" w:eastAsia="仿宋_GB2312" w:cs="仿宋_GB2312"/>
          <w:bCs/>
          <w:sz w:val="32"/>
        </w:rPr>
        <w:t>完成农、林、水支出64362万元，较上年增加3621万元；土地出让收入优先支持乡村振兴，按规定计提土地出让金用于乡村振兴的资金比率达8.4%。</w:t>
      </w:r>
      <w:r>
        <w:rPr>
          <w:rFonts w:hint="eastAsia" w:ascii="仿宋_GB2312" w:hAnsi="仿宋_GB2312" w:eastAsia="仿宋_GB2312" w:cs="仿宋_GB2312"/>
          <w:b/>
          <w:sz w:val="32"/>
        </w:rPr>
        <w:t>二是巩固拓展脱贫成果。</w:t>
      </w:r>
      <w:r>
        <w:rPr>
          <w:rFonts w:hint="eastAsia" w:ascii="仿宋_GB2312" w:hAnsi="仿宋_GB2312" w:eastAsia="仿宋_GB2312" w:cs="仿宋_GB2312"/>
          <w:bCs/>
          <w:sz w:val="32"/>
        </w:rPr>
        <w:t>对照国家脱贫攻坚成果评估要求，扎实做好有效衔接工作。保持过渡期各项帮扶政策稳定，继续做好脱贫人口小额信贷工作，推动脱贫帮扶政策落地见效、脱贫人口持续增收。预计全年投入乡村振兴衔接专项资金5217万元，较上年增加730万元，其中本级配套1228万元，较上年增加177万元。</w:t>
      </w:r>
      <w:r>
        <w:rPr>
          <w:rFonts w:hint="eastAsia" w:ascii="仿宋_GB2312" w:hAnsi="仿宋_GB2312" w:eastAsia="仿宋_GB2312" w:cs="仿宋_GB2312"/>
          <w:b/>
          <w:sz w:val="32"/>
        </w:rPr>
        <w:t>三</w:t>
      </w:r>
      <w:r>
        <w:rPr>
          <w:rFonts w:hint="eastAsia" w:ascii="仿宋_GB2312" w:hAnsi="仿宋_GB2312" w:eastAsia="仿宋_GB2312" w:cs="仿宋_GB2312"/>
          <w:b/>
          <w:bCs/>
          <w:color w:val="000000"/>
          <w:sz w:val="32"/>
          <w:szCs w:val="32"/>
        </w:rPr>
        <w:t>是全力保障农业生产。</w:t>
      </w:r>
      <w:r>
        <w:rPr>
          <w:rFonts w:hint="eastAsia" w:ascii="仿宋_GB2312" w:hAnsi="仿宋_GB2312" w:eastAsia="仿宋_GB2312" w:cs="仿宋_GB2312"/>
          <w:color w:val="000000"/>
          <w:sz w:val="32"/>
          <w:szCs w:val="32"/>
        </w:rPr>
        <w:t>精准落实各项惠农补贴政策,重点支持双季稻生产、农机作业、基层农技推广、农业生产社会化服务等关键领域和薄弱环节,鼓励发展适度规模经营,支持实施粮食高产绿色科技创新工程,促进集约化生产,提高种粮综合效益，统筹投入农业生产资金（含</w:t>
      </w:r>
      <w:r>
        <w:rPr>
          <w:rFonts w:hint="eastAsia" w:ascii="仿宋_GB2312" w:eastAsia="仿宋_GB2312"/>
          <w:bCs/>
          <w:sz w:val="32"/>
        </w:rPr>
        <w:t>耕地地力补贴、一次性</w:t>
      </w:r>
      <w:r>
        <w:rPr>
          <w:rFonts w:hint="eastAsia" w:ascii="仿宋_GB2312" w:hAnsi="仿宋_GB2312" w:eastAsia="仿宋_GB2312" w:cs="仿宋_GB2312"/>
          <w:color w:val="000000"/>
          <w:sz w:val="32"/>
          <w:szCs w:val="32"/>
        </w:rPr>
        <w:t>种粮补贴）9261万元。</w:t>
      </w:r>
      <w:r>
        <w:rPr>
          <w:rFonts w:hint="eastAsia" w:ascii="仿宋_GB2312" w:hAnsi="仿宋_GB2312" w:eastAsia="仿宋_GB2312" w:cs="仿宋_GB2312"/>
          <w:b/>
          <w:bCs/>
          <w:color w:val="000000"/>
          <w:sz w:val="32"/>
          <w:szCs w:val="32"/>
        </w:rPr>
        <w:t>四是确保农产品供给安全。</w:t>
      </w:r>
      <w:r>
        <w:rPr>
          <w:rFonts w:hint="eastAsia" w:ascii="仿宋_GB2312" w:hAnsi="仿宋_GB2312" w:eastAsia="仿宋_GB2312" w:cs="仿宋_GB2312"/>
          <w:color w:val="000000"/>
          <w:sz w:val="32"/>
          <w:szCs w:val="32"/>
        </w:rPr>
        <w:t>落实生猪良种补贴65万元、病虫害控制及农产品质量安全资金362万元，促进农产品高质量发展；调优水产品供给结构，投入水产养殖绿色发展资金415万元，对水产养殖尾水进行处理；投入844万元完成33家农产品产地冷藏保鲜设施建设；投入农业产业融合发展资金399万元，扶持益阳市中盛现代科技有限公司等5家企业发展洞庭香米产业建设，全力保障重要农产品有效供给。</w:t>
      </w:r>
      <w:r>
        <w:rPr>
          <w:rFonts w:hint="eastAsia" w:ascii="仿宋_GB2312" w:hAnsi="仿宋_GB2312" w:eastAsia="仿宋_GB2312" w:cs="仿宋_GB2312"/>
          <w:b/>
          <w:bCs/>
          <w:sz w:val="32"/>
          <w:szCs w:val="32"/>
        </w:rPr>
        <w:t>五是改善农村人居环境。</w:t>
      </w:r>
      <w:r>
        <w:rPr>
          <w:rFonts w:hint="eastAsia" w:ascii="仿宋_GB2312" w:hAnsi="仿宋_GB2312" w:eastAsia="仿宋_GB2312" w:cs="仿宋_GB2312"/>
          <w:sz w:val="32"/>
          <w:szCs w:val="32"/>
        </w:rPr>
        <w:t>推进农村户厕改造提升，完成改（新）建厕所2500户，455个问题户厕全部整改到位，全年共计下达农村改厕奖补资金393万元；创新农村垃圾治理新模式，探索建立垃圾治理有偿服务制度和农户垃圾处理付费机制，推动形成长效治理机制；发展绿色农业，投入农业资源保护修复与利用4053万元，加强受污染耕地安全利用，开展测土配方施肥、持续推进化肥农药减量增效，发挥好绿色种养循环农业机制的长效管护作用。</w:t>
      </w:r>
    </w:p>
    <w:p>
      <w:pPr>
        <w:pStyle w:val="2"/>
        <w:spacing w:line="560" w:lineRule="exact"/>
        <w:ind w:firstLine="643" w:firstLineChars="200"/>
      </w:pPr>
      <w:r>
        <w:rPr>
          <w:rFonts w:hint="eastAsia" w:ascii="仿宋_GB2312" w:eastAsia="仿宋_GB2312"/>
          <w:b/>
          <w:sz w:val="32"/>
        </w:rPr>
        <w:t>5.建机制、形合力，全面清查闲置国有资产</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一是清查存量国有资产资源，摸清底子。</w:t>
      </w:r>
      <w:r>
        <w:rPr>
          <w:rFonts w:hint="eastAsia" w:ascii="仿宋_GB2312" w:hAnsi="仿宋_GB2312" w:eastAsia="仿宋_GB2312" w:cs="仿宋_GB2312"/>
          <w:sz w:val="32"/>
          <w:szCs w:val="32"/>
        </w:rPr>
        <w:t>开展存量国有资产资源摸排工作，分批次对全区存量国有资产资源进行摸排，分类建立台账，做到底子清、数据准、情况明。</w:t>
      </w:r>
      <w:r>
        <w:rPr>
          <w:rFonts w:hint="eastAsia" w:ascii="仿宋_GB2312" w:hAnsi="仿宋_GB2312" w:eastAsia="仿宋_GB2312" w:cs="仿宋_GB2312"/>
          <w:b/>
          <w:bCs/>
          <w:sz w:val="32"/>
          <w:szCs w:val="32"/>
        </w:rPr>
        <w:t>二是建立任务清单，推进盘活处置。</w:t>
      </w:r>
      <w:r>
        <w:rPr>
          <w:rFonts w:hint="eastAsia" w:ascii="仿宋_GB2312" w:hAnsi="仿宋_GB2312" w:eastAsia="仿宋_GB2312" w:cs="仿宋_GB2312"/>
          <w:sz w:val="32"/>
          <w:szCs w:val="32"/>
        </w:rPr>
        <w:t>建立盘活任务清单，明确任务内容、截止时间、牵头单位及责任单位，有序推进资产测量、评估、颁证工作。</w:t>
      </w:r>
      <w:r>
        <w:rPr>
          <w:rFonts w:hint="eastAsia" w:ascii="仿宋_GB2312" w:hAnsi="仿宋_GB2312" w:eastAsia="仿宋_GB2312" w:cs="仿宋_GB2312"/>
          <w:b/>
          <w:bCs/>
          <w:sz w:val="32"/>
          <w:szCs w:val="32"/>
        </w:rPr>
        <w:t>三是深入对接金融机构，把握政策利好。</w:t>
      </w:r>
      <w:r>
        <w:rPr>
          <w:rFonts w:hint="eastAsia" w:ascii="仿宋_GB2312" w:hAnsi="仿宋_GB2312" w:eastAsia="仿宋_GB2312" w:cs="仿宋_GB2312"/>
          <w:sz w:val="32"/>
          <w:szCs w:val="32"/>
        </w:rPr>
        <w:t>精准研判金融机构关于盘活存量国有资产的支持政策，建立健全对接机制，用好金融支持政策，加快闲置国有资产资源清查处置工作进度。已完成乡镇供水厂、乡镇卫生院的测量与评估，评估价值合计4.37亿元。其中，乡镇供水厂资产及特许经营权评估价值1.99亿元，已于11月底进行了公开拍卖。</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6.抓改革、优机制，提升财政管理水平</w:t>
      </w:r>
    </w:p>
    <w:p>
      <w:pPr>
        <w:spacing w:line="560" w:lineRule="exact"/>
        <w:ind w:firstLine="640" w:firstLineChars="200"/>
        <w:rPr>
          <w:rFonts w:ascii="仿宋_GB2312" w:eastAsia="仿宋_GB2312" w:cs="仿宋_GB2312"/>
          <w:sz w:val="32"/>
          <w:szCs w:val="32"/>
        </w:rPr>
      </w:pPr>
      <w:bookmarkStart w:id="0" w:name="_Hlk108386387"/>
      <w:r>
        <w:rPr>
          <w:rFonts w:hint="eastAsia" w:ascii="仿宋_GB2312" w:hAnsi="仿宋_GB2312" w:eastAsia="仿宋_GB2312" w:cs="仿宋_GB2312"/>
          <w:sz w:val="32"/>
          <w:szCs w:val="32"/>
        </w:rPr>
        <w:t>财政管理不断规范，连续多年获省、市肯定。</w:t>
      </w:r>
      <w:r>
        <w:rPr>
          <w:rFonts w:ascii="仿宋_GB2312" w:hAnsi="仿宋_GB2312" w:eastAsia="仿宋_GB2312" w:cs="仿宋_GB2312"/>
          <w:b/>
          <w:bCs/>
          <w:sz w:val="32"/>
          <w:szCs w:val="32"/>
        </w:rPr>
        <w:t>一是</w:t>
      </w:r>
      <w:r>
        <w:rPr>
          <w:rFonts w:hint="eastAsia" w:ascii="仿宋_GB2312" w:hAnsi="仿宋_GB2312" w:eastAsia="仿宋_GB2312" w:cs="仿宋_GB2312"/>
          <w:b/>
          <w:bCs/>
          <w:sz w:val="32"/>
          <w:szCs w:val="32"/>
        </w:rPr>
        <w:t>完成预算管理一体化改革。</w:t>
      </w:r>
      <w:r>
        <w:rPr>
          <w:rFonts w:hint="eastAsia" w:ascii="仿宋_GB2312" w:hAnsi="仿宋_GB2312" w:eastAsia="仿宋_GB2312" w:cs="仿宋_GB2312"/>
          <w:sz w:val="32"/>
          <w:szCs w:val="32"/>
        </w:rPr>
        <w:t>落实政府过“紧日子”要求，积极应对财政“紧平衡”状态，以信息化手段加快实现预算编制改革目标，将预算编制、预算执行、单位核算及账务处理等业务全部整合至预算管理一体化系统；组织全区会计业务人员进行业务培训，提高预算编制和预算执行的精细化水平，加强资金全过程跟踪、监管</w:t>
      </w:r>
      <w:bookmarkEnd w:id="0"/>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是强化</w:t>
      </w:r>
      <w:r>
        <w:rPr>
          <w:rFonts w:ascii="仿宋_GB2312" w:hAnsi="仿宋_GB2312" w:eastAsia="仿宋_GB2312" w:cs="仿宋_GB2312"/>
          <w:b/>
          <w:bCs/>
          <w:sz w:val="32"/>
          <w:szCs w:val="32"/>
        </w:rPr>
        <w:t>国库集中支付</w:t>
      </w:r>
      <w:r>
        <w:rPr>
          <w:rFonts w:hint="eastAsia" w:ascii="仿宋_GB2312" w:hAnsi="仿宋_GB2312" w:eastAsia="仿宋_GB2312" w:cs="仿宋_GB2312"/>
          <w:b/>
          <w:bCs/>
          <w:sz w:val="32"/>
          <w:szCs w:val="32"/>
        </w:rPr>
        <w:t>管理。</w:t>
      </w:r>
      <w:r>
        <w:rPr>
          <w:rFonts w:hint="eastAsia" w:ascii="仿宋_GB2312" w:hAnsi="仿宋_GB2312" w:eastAsia="仿宋_GB2312" w:cs="仿宋_GB2312"/>
          <w:sz w:val="32"/>
          <w:szCs w:val="32"/>
        </w:rPr>
        <w:t>依托预算管理一体化系统，实现支付全流程电子化，确保财政资金规范、安全、高效。已办理国库集中支付资金38.14亿元，支付业务37590笔。</w:t>
      </w: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是</w:t>
      </w:r>
      <w:r>
        <w:rPr>
          <w:rFonts w:hint="eastAsia" w:ascii="仿宋_GB2312" w:hAnsi="仿宋_GB2312" w:eastAsia="仿宋_GB2312" w:cs="仿宋_GB2312"/>
          <w:b/>
          <w:bCs/>
          <w:sz w:val="32"/>
          <w:szCs w:val="32"/>
        </w:rPr>
        <w:t>优化</w:t>
      </w:r>
      <w:r>
        <w:rPr>
          <w:rFonts w:ascii="仿宋_GB2312" w:hAnsi="仿宋_GB2312" w:eastAsia="仿宋_GB2312" w:cs="仿宋_GB2312"/>
          <w:b/>
          <w:bCs/>
          <w:sz w:val="32"/>
          <w:szCs w:val="32"/>
        </w:rPr>
        <w:t>财政投资评审</w:t>
      </w:r>
      <w:r>
        <w:rPr>
          <w:rFonts w:hint="eastAsia" w:ascii="仿宋_GB2312" w:hAnsi="仿宋_GB2312" w:eastAsia="仿宋_GB2312" w:cs="仿宋_GB2312"/>
          <w:b/>
          <w:bCs/>
          <w:sz w:val="32"/>
          <w:szCs w:val="32"/>
        </w:rPr>
        <w:t>机制</w:t>
      </w:r>
      <w:r>
        <w:rPr>
          <w:rFonts w:ascii="仿宋_GB2312" w:hAnsi="仿宋_GB2312" w:eastAsia="仿宋_GB2312" w:cs="仿宋_GB2312"/>
          <w:b/>
          <w:bCs/>
          <w:sz w:val="32"/>
          <w:szCs w:val="32"/>
        </w:rPr>
        <w:t>。</w:t>
      </w:r>
      <w:r>
        <w:rPr>
          <w:rFonts w:hint="eastAsia" w:ascii="仿宋_GB2312" w:hAnsi="仿宋_GB2312" w:eastAsia="仿宋_GB2312" w:cs="仿宋_GB2312"/>
          <w:sz w:val="32"/>
          <w:szCs w:val="32"/>
        </w:rPr>
        <w:t>按照“不唯增、不唯减、只唯实”的评审理念，进一步深化评审业务改革，严把审核关，稳步提高评审质量。已完成评审财政投资项目169个，送审金额116242万元，审定金额98573万元，净审减金额17669万元，审减率15.20%，有效节约了财政资金。</w:t>
      </w:r>
      <w:r>
        <w:rPr>
          <w:rFonts w:hint="eastAsia" w:ascii="仿宋_GB2312" w:hAnsi="仿宋_GB2312" w:eastAsia="仿宋_GB2312" w:cs="仿宋_GB2312"/>
          <w:b/>
          <w:bCs/>
          <w:sz w:val="32"/>
          <w:szCs w:val="32"/>
        </w:rPr>
        <w:t>四是规范政府采购流程。</w:t>
      </w:r>
      <w:r>
        <w:rPr>
          <w:rFonts w:hint="eastAsia" w:ascii="仿宋_GB2312" w:hAnsi="仿宋_GB2312" w:eastAsia="仿宋_GB2312" w:cs="仿宋_GB2312"/>
          <w:sz w:val="32"/>
          <w:szCs w:val="32"/>
        </w:rPr>
        <w:t>严格履行政府采购“五步走”流程，实行事前沟通、规范采购文件、细化开标流程、严格评标程序、事后跟踪制度，进一步提高政府采购绩效。已实施限额标准以上采购项目116个，预算金额20866万元，实际采购金额20260万元；限额标准以下的交易订单9074笔，交易金额16664万元，实现了政府采购项目全方位监管。</w:t>
      </w:r>
      <w:r>
        <w:rPr>
          <w:rFonts w:hint="eastAsia" w:ascii="仿宋_GB2312" w:hAnsi="仿宋_GB2312" w:eastAsia="仿宋_GB2312" w:cs="仿宋_GB2312"/>
          <w:b/>
          <w:bCs/>
          <w:sz w:val="32"/>
          <w:szCs w:val="32"/>
        </w:rPr>
        <w:t>五是严格执行绩效评价程序。</w:t>
      </w:r>
      <w:r>
        <w:rPr>
          <w:rFonts w:hint="eastAsia" w:ascii="仿宋_GB2312" w:hAnsi="仿宋_GB2312" w:eastAsia="仿宋_GB2312" w:cs="仿宋_GB2312"/>
          <w:sz w:val="32"/>
          <w:szCs w:val="32"/>
        </w:rPr>
        <w:t>按照“谁申请，谁编制”的原则，实事求是编制项目绩效目标。全面完成了2021年度部门单位绩效评价自评工作。通过第三方机构开展了2021年度本级重点项目绩效评价工作，出具了评价报告，下发了整改意见函。评价结果将作为预算安排的参考依据。开展了2022年度预算运行绩效跟踪监控工作，部门单位对所负责项目的执行过程、资金管理进行跟踪监控，区财政抽取重点项目进行重点监控。</w:t>
      </w:r>
      <w:r>
        <w:rPr>
          <w:rFonts w:hint="eastAsia" w:ascii="仿宋_GB2312" w:hAnsi="仿宋_GB2312" w:eastAsia="仿宋_GB2312" w:cs="仿宋_GB2312"/>
          <w:b/>
          <w:bCs/>
          <w:sz w:val="32"/>
          <w:szCs w:val="32"/>
        </w:rPr>
        <w:t>六是注重财政监督职能</w:t>
      </w:r>
      <w:r>
        <w:rPr>
          <w:rFonts w:hint="eastAsia" w:ascii="仿宋_GB2312" w:hAnsi="仿宋_GB2312" w:eastAsia="仿宋_GB2312" w:cs="仿宋_GB2312"/>
          <w:bCs/>
          <w:sz w:val="32"/>
          <w:szCs w:val="32"/>
        </w:rPr>
        <w:t>。已开展3家涉粮企业的专项检查，2家地方融资平台的债务问题核查；委托第三方机构开展了政府会计制度执行和会计信息质量专项检查。查办采购违规案件3起；对11家行政事业单位和企业作出财政检查结论并下达责令整改通知；对9名违规的责任人处行政罚款共计3.6万元；建议单位问责2人。</w:t>
      </w:r>
    </w:p>
    <w:p>
      <w:pPr>
        <w:spacing w:line="560" w:lineRule="exact"/>
        <w:ind w:firstLine="640" w:firstLineChars="200"/>
        <w:jc w:val="left"/>
        <w:rPr>
          <w:rFonts w:ascii="仿宋_GB2312" w:hAnsi="宋体" w:eastAsia="仿宋_GB2312" w:cs="宋体"/>
          <w:kern w:val="0"/>
          <w:sz w:val="32"/>
          <w:szCs w:val="32"/>
        </w:rPr>
      </w:pPr>
      <w:r>
        <w:rPr>
          <w:rFonts w:hint="eastAsia" w:ascii="仿宋_GB2312" w:eastAsia="仿宋_GB2312"/>
          <w:sz w:val="32"/>
          <w:szCs w:val="32"/>
          <w:lang w:eastAsia="zh-CN"/>
        </w:rPr>
        <w:t>各位代表</w:t>
      </w:r>
      <w:r>
        <w:rPr>
          <w:rFonts w:hint="eastAsia" w:ascii="仿宋_GB2312" w:hAnsi="宋体" w:eastAsia="仿宋_GB2312"/>
          <w:sz w:val="32"/>
          <w:szCs w:val="32"/>
        </w:rPr>
        <w:t>，</w:t>
      </w:r>
      <w:r>
        <w:rPr>
          <w:rFonts w:hint="eastAsia" w:ascii="仿宋_GB2312" w:hAnsi="宋体" w:eastAsia="仿宋_GB2312" w:cs="宋体"/>
          <w:kern w:val="0"/>
          <w:sz w:val="32"/>
          <w:szCs w:val="32"/>
        </w:rPr>
        <w:t>在肯定成绩的同时，我们也清醒地看到还有一些困难和问题困扰财政运行。</w:t>
      </w:r>
    </w:p>
    <w:p>
      <w:pPr>
        <w:spacing w:line="560" w:lineRule="exact"/>
        <w:ind w:firstLine="643" w:firstLineChars="200"/>
        <w:rPr>
          <w:rFonts w:eastAsia="仿宋_GB2312"/>
        </w:rPr>
      </w:pPr>
      <w:r>
        <w:rPr>
          <w:rFonts w:hint="eastAsia" w:ascii="仿宋_GB2312" w:hAnsi="仿宋_GB2312" w:eastAsia="仿宋_GB2312" w:cs="仿宋_GB2312"/>
          <w:b/>
          <w:sz w:val="32"/>
          <w:szCs w:val="32"/>
        </w:rPr>
        <w:t>一是收支情况持续收紧。</w:t>
      </w:r>
      <w:r>
        <w:rPr>
          <w:rFonts w:hint="eastAsia" w:ascii="仿宋_GB2312" w:hAnsi="仿宋_GB2312" w:eastAsia="仿宋_GB2312" w:cs="仿宋_GB2312"/>
          <w:sz w:val="32"/>
          <w:szCs w:val="32"/>
        </w:rPr>
        <w:t>2022年疫情持续，经济下行压力持续加大，房地产市场疲软，土地市场交易活跃度不高，加之砂石开采指标批复延后，入库税费较上年明显下降。口味王、皇爷等重点税源企业面临行业压力、成本增加、订单缩减等难题，税收贡献达不到预期，多种因素制约财政增收，收支矛盾加剧。</w:t>
      </w:r>
      <w:r>
        <w:rPr>
          <w:rFonts w:hint="eastAsia" w:ascii="仿宋_GB2312" w:hAnsi="仿宋_GB2312" w:eastAsia="仿宋_GB2312" w:cs="仿宋_GB2312"/>
          <w:b/>
          <w:sz w:val="32"/>
          <w:szCs w:val="32"/>
        </w:rPr>
        <w:t>二是债务形势不容乐观</w:t>
      </w:r>
      <w:r>
        <w:rPr>
          <w:rFonts w:hint="eastAsia" w:ascii="楷体_GB2312" w:hAnsi="楷体_GB2312" w:eastAsia="楷体_GB2312" w:cs="楷体_GB2312"/>
          <w:b/>
          <w:sz w:val="32"/>
          <w:szCs w:val="32"/>
        </w:rPr>
        <w:t>。</w:t>
      </w:r>
      <w:r>
        <w:rPr>
          <w:rFonts w:hint="eastAsia" w:ascii="仿宋_GB2312" w:hAnsi="仿宋_GB2312" w:eastAsia="仿宋_GB2312" w:cs="仿宋_GB2312"/>
          <w:bCs/>
          <w:sz w:val="32"/>
          <w:szCs w:val="32"/>
        </w:rPr>
        <w:t>尽管我区</w:t>
      </w:r>
      <w:r>
        <w:rPr>
          <w:rFonts w:hint="eastAsia" w:ascii="仿宋_GB2312" w:hAnsi="仿宋_GB2312" w:eastAsia="仿宋_GB2312" w:cs="仿宋_GB2312"/>
          <w:sz w:val="32"/>
          <w:szCs w:val="32"/>
        </w:rPr>
        <w:t>政府性债务风险总体可控，但是总量下降幅度仍然不大，并且我区偿债资金来源主要依赖土地出让收入和砂石收入，偿债能力不强；政府资产中非金融资产占有较大比例，流动性不强，处置比较困难，资产难以变现，缓解政府性债务压力的作用还不明显。</w:t>
      </w:r>
    </w:p>
    <w:p>
      <w:pPr>
        <w:spacing w:line="560" w:lineRule="exact"/>
        <w:ind w:firstLine="630"/>
        <w:rPr>
          <w:rFonts w:ascii="黑体" w:hAnsi="黑体" w:eastAsia="黑体"/>
          <w:sz w:val="32"/>
          <w:szCs w:val="32"/>
        </w:rPr>
      </w:pPr>
      <w:r>
        <w:rPr>
          <w:rFonts w:hint="eastAsia" w:ascii="仿宋_GB2312" w:eastAsia="仿宋_GB2312"/>
          <w:sz w:val="32"/>
          <w:szCs w:val="32"/>
        </w:rPr>
        <w:t>对于这些问题，我们将予以高度重视，广泛听取各界人士的意见和建议，认真研究，采取切实有效的措施，逐步加以解决。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二、2023年财政收支预算（草案）</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（一）2023年财政收支预算（草案）情况</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2023年财政工作的指导思想：</w:t>
      </w:r>
      <w:r>
        <w:rPr>
          <w:rFonts w:hint="eastAsia" w:ascii="仿宋_GB2312" w:eastAsia="仿宋_GB2312"/>
          <w:sz w:val="32"/>
          <w:szCs w:val="32"/>
        </w:rPr>
        <w:t>以习近平新时代中国特色社会主义思想为指导，深入贯彻党的二十大精神，落实中央、省、市经济工作会议和财政工作会议精神以及区委、区政府的决策部署，坚持稳中求进，持续深化预算管理改革，有力应对风险挑战，统筹疫情防控和经济社会发展。坚决落实过“紧日子”要求，控制和压缩一般性支出，保障和改善民生，兜牢“三保”</w:t>
      </w:r>
      <w:r>
        <w:rPr>
          <w:rFonts w:hint="eastAsia" w:ascii="仿宋_GB2312" w:eastAsia="仿宋_GB2312"/>
          <w:sz w:val="32"/>
          <w:szCs w:val="32"/>
          <w:vertAlign w:val="superscript"/>
        </w:rPr>
        <w:t>⑦</w:t>
      </w:r>
      <w:r>
        <w:rPr>
          <w:rFonts w:hint="eastAsia" w:ascii="仿宋_GB2312" w:eastAsia="仿宋_GB2312"/>
          <w:sz w:val="32"/>
          <w:szCs w:val="32"/>
        </w:rPr>
        <w:t>底线，扎实做好“六稳”“六保”工作，为全力建设新资阳提供坚实的财力保障。</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2023年财政预算编制的基本原则：一是依法理财，公开透明。</w:t>
      </w:r>
      <w:r>
        <w:rPr>
          <w:rFonts w:hint="eastAsia" w:ascii="仿宋_GB2312" w:eastAsia="仿宋_GB2312"/>
          <w:sz w:val="32"/>
          <w:szCs w:val="32"/>
        </w:rPr>
        <w:t>按照《中华人民共和国预算法》及其实施条例等法律法规要求编制预算，内容真实、合法合规；执行“二上二下”的预算编制程序，严格执行人大批准的预算；深入推进预算公开，强化预算公开范围和细化内容，主动接受各界监督，切实做到及时公开、内容准确、形式规范。</w:t>
      </w:r>
      <w:r>
        <w:rPr>
          <w:rFonts w:hint="eastAsia" w:ascii="仿宋_GB2312" w:eastAsia="仿宋_GB2312"/>
          <w:b/>
          <w:bCs/>
          <w:sz w:val="32"/>
          <w:szCs w:val="32"/>
        </w:rPr>
        <w:t>二是量入为出，收支平衡。</w:t>
      </w:r>
      <w:r>
        <w:rPr>
          <w:rFonts w:hint="eastAsia" w:ascii="仿宋_GB2312" w:eastAsia="仿宋_GB2312"/>
          <w:sz w:val="32"/>
          <w:szCs w:val="32"/>
        </w:rPr>
        <w:t>盘活存量，用好增量，促进财政资金优化配置，合理安排支出，做到量入为出，收支平衡，不列赤字。</w:t>
      </w:r>
      <w:r>
        <w:rPr>
          <w:rFonts w:hint="eastAsia" w:ascii="仿宋_GB2312" w:eastAsia="仿宋_GB2312"/>
          <w:b/>
          <w:bCs/>
          <w:sz w:val="32"/>
          <w:szCs w:val="32"/>
        </w:rPr>
        <w:t>三是优化结构，突出重点。</w:t>
      </w:r>
      <w:r>
        <w:rPr>
          <w:rFonts w:hint="eastAsia" w:ascii="仿宋_GB2312" w:eastAsia="仿宋_GB2312"/>
          <w:sz w:val="32"/>
          <w:szCs w:val="32"/>
        </w:rPr>
        <w:t>坚持政府“过紧日子”思想，从严从紧编制预算，继续优化支出结构，严格控制一般性支出</w:t>
      </w:r>
      <w:r>
        <w:rPr>
          <w:rFonts w:hint="eastAsia" w:ascii="仿宋_GB2312" w:eastAsia="仿宋_GB2312"/>
          <w:sz w:val="32"/>
          <w:szCs w:val="32"/>
          <w:vertAlign w:val="superscript"/>
        </w:rPr>
        <w:t>⑧</w:t>
      </w:r>
      <w:r>
        <w:rPr>
          <w:rFonts w:hint="eastAsia" w:ascii="仿宋_GB2312" w:eastAsia="仿宋_GB2312"/>
          <w:sz w:val="32"/>
          <w:szCs w:val="32"/>
        </w:rPr>
        <w:t>，压减非“三保”项目支出，坚持按照保基本民生、保工资、保运转、保政府债券利息、保重点项目的顺序安排预算，其他项目视当年财力状况安排。</w:t>
      </w:r>
      <w:r>
        <w:rPr>
          <w:rFonts w:hint="eastAsia" w:ascii="仿宋_GB2312" w:eastAsia="仿宋_GB2312"/>
          <w:b/>
          <w:bCs/>
          <w:sz w:val="32"/>
          <w:szCs w:val="32"/>
        </w:rPr>
        <w:t>四是厉行节约，强化绩效。</w:t>
      </w:r>
      <w:r>
        <w:rPr>
          <w:rFonts w:hint="eastAsia" w:ascii="仿宋_GB2312" w:eastAsia="仿宋_GB2312"/>
          <w:sz w:val="32"/>
          <w:szCs w:val="32"/>
        </w:rPr>
        <w:t>强化“三公”经费</w:t>
      </w:r>
      <w:r>
        <w:rPr>
          <w:rFonts w:hint="eastAsia" w:ascii="仿宋_GB2312" w:eastAsia="仿宋_GB2312"/>
          <w:sz w:val="32"/>
          <w:szCs w:val="32"/>
          <w:vertAlign w:val="superscript"/>
        </w:rPr>
        <w:t>⑨</w:t>
      </w:r>
      <w:r>
        <w:rPr>
          <w:rFonts w:hint="eastAsia" w:ascii="仿宋_GB2312" w:eastAsia="仿宋_GB2312"/>
          <w:sz w:val="32"/>
          <w:szCs w:val="32"/>
        </w:rPr>
        <w:t>预算管理，总量坚持零增长，努力降低行政成本。全面推进项目库全生命周期管理，实现项目绩效评价结果与预算编制相衔接，有效发挥预算绩效管理激励约束作用，切实做到“花钱必问效”。</w:t>
      </w:r>
    </w:p>
    <w:p>
      <w:pPr>
        <w:pStyle w:val="13"/>
        <w:widowControl w:val="0"/>
        <w:spacing w:before="0" w:beforeAutospacing="0" w:after="0" w:afterAutospacing="0" w:line="560" w:lineRule="exact"/>
        <w:ind w:firstLine="645"/>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根据上述指导思想和基本原则，综合考虑各方面因素，2023年财政收支预算初步安排如下：</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 一般公共预算</w:t>
      </w:r>
    </w:p>
    <w:p>
      <w:pPr>
        <w:spacing w:line="56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3</w:t>
      </w:r>
      <w:r>
        <w:rPr>
          <w:rFonts w:ascii="仿宋_GB2312" w:eastAsia="仿宋_GB2312"/>
          <w:sz w:val="32"/>
          <w:szCs w:val="32"/>
        </w:rPr>
        <w:t>年全区</w:t>
      </w:r>
      <w:r>
        <w:rPr>
          <w:rFonts w:hint="eastAsia" w:ascii="仿宋_GB2312" w:eastAsia="仿宋_GB2312"/>
          <w:sz w:val="32"/>
          <w:szCs w:val="32"/>
        </w:rPr>
        <w:t>地方一般公共预算收入45027万元，</w:t>
      </w:r>
      <w:r>
        <w:rPr>
          <w:rFonts w:ascii="仿宋_GB2312" w:eastAsia="仿宋_GB2312"/>
          <w:sz w:val="32"/>
          <w:szCs w:val="32"/>
        </w:rPr>
        <w:t>比202</w:t>
      </w:r>
      <w:r>
        <w:rPr>
          <w:rFonts w:hint="eastAsia" w:ascii="仿宋_GB2312" w:eastAsia="仿宋_GB2312"/>
          <w:sz w:val="32"/>
          <w:szCs w:val="32"/>
        </w:rPr>
        <w:t>2</w:t>
      </w:r>
      <w:r>
        <w:rPr>
          <w:rFonts w:ascii="仿宋_GB2312" w:eastAsia="仿宋_GB2312"/>
          <w:sz w:val="32"/>
          <w:szCs w:val="32"/>
        </w:rPr>
        <w:t>年</w:t>
      </w:r>
      <w:r>
        <w:rPr>
          <w:rFonts w:hint="eastAsia" w:ascii="仿宋_GB2312" w:eastAsia="仿宋_GB2312"/>
          <w:sz w:val="32"/>
          <w:szCs w:val="32"/>
        </w:rPr>
        <w:t>年初预算数</w:t>
      </w:r>
      <w:r>
        <w:rPr>
          <w:rFonts w:ascii="仿宋_GB2312" w:eastAsia="仿宋_GB2312"/>
          <w:sz w:val="32"/>
          <w:szCs w:val="32"/>
        </w:rPr>
        <w:t>增长</w:t>
      </w: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202</w:t>
      </w:r>
      <w:r>
        <w:rPr>
          <w:rFonts w:hint="eastAsia" w:ascii="仿宋_GB2312" w:hAnsi="宋体" w:eastAsia="仿宋_GB2312"/>
          <w:color w:val="000000"/>
          <w:sz w:val="32"/>
          <w:szCs w:val="32"/>
        </w:rPr>
        <w:t>3</w:t>
      </w:r>
      <w:r>
        <w:rPr>
          <w:rFonts w:ascii="仿宋_GB2312" w:hAnsi="宋体" w:eastAsia="仿宋_GB2312"/>
          <w:color w:val="000000"/>
          <w:sz w:val="32"/>
          <w:szCs w:val="32"/>
        </w:rPr>
        <w:t>年全区本级财政收入</w:t>
      </w:r>
      <w:r>
        <w:rPr>
          <w:rFonts w:hint="eastAsia" w:ascii="仿宋_GB2312" w:hAnsi="宋体" w:eastAsia="仿宋_GB2312"/>
          <w:color w:val="000000"/>
          <w:sz w:val="32"/>
          <w:szCs w:val="32"/>
        </w:rPr>
        <w:t>45027</w:t>
      </w:r>
      <w:r>
        <w:rPr>
          <w:rFonts w:ascii="仿宋_GB2312" w:hAnsi="宋体" w:eastAsia="仿宋_GB2312"/>
          <w:color w:val="000000"/>
          <w:sz w:val="32"/>
          <w:szCs w:val="32"/>
        </w:rPr>
        <w:t>万元,税收返还收入</w:t>
      </w:r>
      <w:r>
        <w:rPr>
          <w:rFonts w:hint="eastAsia" w:ascii="仿宋_GB2312" w:hAnsi="宋体" w:eastAsia="仿宋_GB2312"/>
          <w:color w:val="000000"/>
          <w:sz w:val="32"/>
          <w:szCs w:val="32"/>
        </w:rPr>
        <w:t>4693</w:t>
      </w:r>
      <w:r>
        <w:rPr>
          <w:rFonts w:ascii="仿宋_GB2312" w:hAnsi="宋体" w:eastAsia="仿宋_GB2312"/>
          <w:color w:val="000000"/>
          <w:sz w:val="32"/>
          <w:szCs w:val="32"/>
        </w:rPr>
        <w:t>万元，财力性</w:t>
      </w:r>
      <w:r>
        <w:rPr>
          <w:rFonts w:hint="eastAsia" w:ascii="仿宋_GB2312" w:hAnsi="宋体" w:eastAsia="仿宋_GB2312"/>
          <w:color w:val="000000"/>
          <w:sz w:val="32"/>
          <w:szCs w:val="32"/>
        </w:rPr>
        <w:t>一般</w:t>
      </w:r>
      <w:r>
        <w:rPr>
          <w:rFonts w:ascii="仿宋_GB2312" w:hAnsi="宋体" w:eastAsia="仿宋_GB2312"/>
          <w:color w:val="000000"/>
          <w:sz w:val="32"/>
          <w:szCs w:val="32"/>
        </w:rPr>
        <w:t>转移支付收入</w:t>
      </w:r>
      <w:r>
        <w:rPr>
          <w:rFonts w:hint="eastAsia" w:ascii="仿宋_GB2312" w:hAnsi="宋体" w:eastAsia="仿宋_GB2312"/>
          <w:color w:val="000000"/>
          <w:sz w:val="32"/>
          <w:szCs w:val="32"/>
        </w:rPr>
        <w:t>106488</w:t>
      </w:r>
      <w:r>
        <w:rPr>
          <w:rFonts w:ascii="仿宋_GB2312" w:hAnsi="宋体" w:eastAsia="仿宋_GB2312"/>
          <w:color w:val="000000"/>
          <w:sz w:val="32"/>
          <w:szCs w:val="32"/>
        </w:rPr>
        <w:t>万元，专项用途一般性转移支付收入</w:t>
      </w:r>
      <w:r>
        <w:rPr>
          <w:rFonts w:hint="eastAsia" w:ascii="仿宋_GB2312" w:hAnsi="宋体" w:eastAsia="仿宋_GB2312"/>
          <w:color w:val="000000"/>
          <w:sz w:val="32"/>
          <w:szCs w:val="32"/>
        </w:rPr>
        <w:t>64178</w:t>
      </w:r>
      <w:r>
        <w:rPr>
          <w:rFonts w:ascii="仿宋_GB2312" w:hAnsi="宋体" w:eastAsia="仿宋_GB2312"/>
          <w:color w:val="000000"/>
          <w:sz w:val="32"/>
          <w:szCs w:val="32"/>
        </w:rPr>
        <w:t>万元，</w:t>
      </w:r>
      <w:r>
        <w:rPr>
          <w:rFonts w:hint="eastAsia" w:ascii="仿宋_GB2312" w:hAnsi="宋体" w:eastAsia="仿宋_GB2312"/>
          <w:color w:val="000000"/>
          <w:sz w:val="32"/>
          <w:szCs w:val="32"/>
        </w:rPr>
        <w:t>专项转移支付</w:t>
      </w:r>
      <w:r>
        <w:rPr>
          <w:rFonts w:ascii="仿宋_GB2312" w:hAnsi="宋体" w:eastAsia="仿宋_GB2312"/>
          <w:color w:val="000000"/>
          <w:sz w:val="32"/>
          <w:szCs w:val="32"/>
        </w:rPr>
        <w:t>收入</w:t>
      </w:r>
      <w:r>
        <w:rPr>
          <w:rFonts w:hint="eastAsia" w:ascii="仿宋_GB2312" w:hAnsi="宋体" w:eastAsia="仿宋_GB2312"/>
          <w:color w:val="000000"/>
          <w:sz w:val="32"/>
          <w:szCs w:val="32"/>
        </w:rPr>
        <w:t>30165</w:t>
      </w:r>
      <w:r>
        <w:rPr>
          <w:rFonts w:ascii="仿宋_GB2312" w:hAnsi="宋体" w:eastAsia="仿宋_GB2312"/>
          <w:color w:val="000000"/>
          <w:sz w:val="32"/>
          <w:szCs w:val="32"/>
        </w:rPr>
        <w:t>万元，调入资金</w:t>
      </w:r>
      <w:r>
        <w:rPr>
          <w:rFonts w:hint="eastAsia" w:ascii="仿宋_GB2312" w:hAnsi="宋体" w:eastAsia="仿宋_GB2312"/>
          <w:color w:val="000000"/>
          <w:sz w:val="32"/>
          <w:szCs w:val="32"/>
        </w:rPr>
        <w:t>38753</w:t>
      </w:r>
      <w:r>
        <w:rPr>
          <w:rFonts w:ascii="仿宋_GB2312" w:hAnsi="宋体" w:eastAsia="仿宋_GB2312"/>
          <w:color w:val="000000"/>
          <w:sz w:val="32"/>
          <w:szCs w:val="32"/>
        </w:rPr>
        <w:t>万元，合计</w:t>
      </w:r>
      <w:r>
        <w:rPr>
          <w:rFonts w:hint="eastAsia" w:ascii="仿宋_GB2312" w:hAnsi="宋体" w:eastAsia="仿宋_GB2312"/>
          <w:color w:val="000000"/>
          <w:sz w:val="32"/>
          <w:szCs w:val="32"/>
        </w:rPr>
        <w:t>289304</w:t>
      </w:r>
      <w:r>
        <w:rPr>
          <w:rFonts w:ascii="仿宋_GB2312" w:hAnsi="宋体" w:eastAsia="仿宋_GB2312"/>
          <w:color w:val="000000"/>
          <w:sz w:val="32"/>
          <w:szCs w:val="32"/>
        </w:rPr>
        <w:t>万元。减上解支出</w:t>
      </w:r>
      <w:r>
        <w:rPr>
          <w:rFonts w:hint="eastAsia" w:ascii="仿宋_GB2312" w:hAnsi="宋体" w:eastAsia="仿宋_GB2312"/>
          <w:color w:val="000000"/>
          <w:sz w:val="32"/>
          <w:szCs w:val="32"/>
        </w:rPr>
        <w:t>14215</w:t>
      </w:r>
      <w:r>
        <w:rPr>
          <w:rFonts w:ascii="仿宋_GB2312" w:hAnsi="宋体" w:eastAsia="仿宋_GB2312"/>
          <w:color w:val="000000"/>
          <w:sz w:val="32"/>
          <w:szCs w:val="32"/>
        </w:rPr>
        <w:t>万元，专项</w:t>
      </w:r>
      <w:r>
        <w:rPr>
          <w:rFonts w:hint="eastAsia" w:ascii="仿宋_GB2312" w:hAnsi="宋体" w:eastAsia="仿宋_GB2312"/>
          <w:color w:val="000000"/>
          <w:sz w:val="32"/>
          <w:szCs w:val="32"/>
        </w:rPr>
        <w:t>用途一般转移支付</w:t>
      </w:r>
      <w:r>
        <w:rPr>
          <w:rFonts w:ascii="仿宋_GB2312" w:hAnsi="宋体" w:eastAsia="仿宋_GB2312"/>
          <w:color w:val="000000"/>
          <w:sz w:val="32"/>
          <w:szCs w:val="32"/>
        </w:rPr>
        <w:t>支出</w:t>
      </w:r>
      <w:r>
        <w:rPr>
          <w:rFonts w:hint="eastAsia" w:ascii="仿宋_GB2312" w:hAnsi="宋体" w:eastAsia="仿宋_GB2312"/>
          <w:color w:val="000000"/>
          <w:sz w:val="32"/>
          <w:szCs w:val="32"/>
        </w:rPr>
        <w:t>64178</w:t>
      </w:r>
      <w:r>
        <w:rPr>
          <w:rFonts w:ascii="仿宋_GB2312" w:hAnsi="宋体" w:eastAsia="仿宋_GB2312"/>
          <w:color w:val="000000"/>
          <w:sz w:val="32"/>
          <w:szCs w:val="32"/>
        </w:rPr>
        <w:t>万元，</w:t>
      </w:r>
      <w:r>
        <w:rPr>
          <w:rFonts w:hint="eastAsia" w:ascii="仿宋_GB2312" w:hAnsi="宋体" w:eastAsia="仿宋_GB2312"/>
          <w:color w:val="000000"/>
          <w:sz w:val="32"/>
          <w:szCs w:val="32"/>
        </w:rPr>
        <w:t>专项转移支付</w:t>
      </w:r>
      <w:r>
        <w:rPr>
          <w:rFonts w:ascii="仿宋_GB2312" w:hAnsi="宋体" w:eastAsia="仿宋_GB2312"/>
          <w:color w:val="000000"/>
          <w:sz w:val="32"/>
          <w:szCs w:val="32"/>
        </w:rPr>
        <w:t>支出</w:t>
      </w:r>
      <w:r>
        <w:rPr>
          <w:rFonts w:hint="eastAsia" w:ascii="仿宋_GB2312" w:hAnsi="宋体" w:eastAsia="仿宋_GB2312"/>
          <w:color w:val="000000"/>
          <w:sz w:val="32"/>
          <w:szCs w:val="32"/>
        </w:rPr>
        <w:t>30165</w:t>
      </w:r>
      <w:r>
        <w:rPr>
          <w:rFonts w:ascii="仿宋_GB2312" w:hAnsi="宋体" w:eastAsia="仿宋_GB2312"/>
          <w:color w:val="000000"/>
          <w:sz w:val="32"/>
          <w:szCs w:val="32"/>
        </w:rPr>
        <w:t>万元，全区202</w:t>
      </w:r>
      <w:r>
        <w:rPr>
          <w:rFonts w:hint="eastAsia" w:ascii="仿宋_GB2312" w:hAnsi="宋体" w:eastAsia="仿宋_GB2312"/>
          <w:color w:val="000000"/>
          <w:sz w:val="32"/>
          <w:szCs w:val="32"/>
        </w:rPr>
        <w:t>3</w:t>
      </w:r>
      <w:r>
        <w:rPr>
          <w:rFonts w:ascii="仿宋_GB2312" w:hAnsi="宋体" w:eastAsia="仿宋_GB2312"/>
          <w:color w:val="000000"/>
          <w:sz w:val="32"/>
          <w:szCs w:val="32"/>
        </w:rPr>
        <w:t>年预计可用财力</w:t>
      </w:r>
      <w:r>
        <w:rPr>
          <w:rFonts w:hint="eastAsia" w:ascii="仿宋_GB2312" w:hAnsi="宋体" w:eastAsia="仿宋_GB2312"/>
          <w:color w:val="000000"/>
          <w:sz w:val="32"/>
          <w:szCs w:val="32"/>
        </w:rPr>
        <w:t>180746</w:t>
      </w:r>
      <w:r>
        <w:rPr>
          <w:rFonts w:ascii="仿宋_GB2312" w:hAnsi="宋体" w:eastAsia="仿宋_GB2312"/>
          <w:color w:val="000000"/>
          <w:sz w:val="32"/>
          <w:szCs w:val="32"/>
        </w:rPr>
        <w:t>万元</w:t>
      </w:r>
      <w:r>
        <w:rPr>
          <w:rFonts w:hint="eastAsia" w:ascii="仿宋_GB2312" w:hAnsi="宋体" w:eastAsia="仿宋_GB2312"/>
          <w:color w:val="000000"/>
          <w:sz w:val="32"/>
          <w:szCs w:val="32"/>
        </w:rPr>
        <w:t>。</w:t>
      </w:r>
      <w:r>
        <w:rPr>
          <w:rFonts w:ascii="仿宋_GB2312" w:hAnsi="宋体" w:eastAsia="仿宋_GB2312"/>
          <w:color w:val="000000"/>
          <w:sz w:val="32"/>
          <w:szCs w:val="32"/>
        </w:rPr>
        <w:t>根据收支平衡原则，202</w:t>
      </w:r>
      <w:r>
        <w:rPr>
          <w:rFonts w:hint="eastAsia" w:ascii="仿宋_GB2312" w:hAnsi="宋体" w:eastAsia="仿宋_GB2312"/>
          <w:color w:val="000000"/>
          <w:sz w:val="32"/>
          <w:szCs w:val="32"/>
        </w:rPr>
        <w:t>3</w:t>
      </w:r>
      <w:r>
        <w:rPr>
          <w:rFonts w:ascii="仿宋_GB2312" w:hAnsi="宋体" w:eastAsia="仿宋_GB2312"/>
          <w:color w:val="000000"/>
          <w:sz w:val="32"/>
          <w:szCs w:val="32"/>
        </w:rPr>
        <w:t>年安排一般公共预算支出</w:t>
      </w:r>
      <w:r>
        <w:rPr>
          <w:rFonts w:hint="eastAsia" w:ascii="仿宋_GB2312" w:hAnsi="宋体" w:eastAsia="仿宋_GB2312"/>
          <w:color w:val="000000"/>
          <w:sz w:val="32"/>
          <w:szCs w:val="32"/>
        </w:rPr>
        <w:t>275089</w:t>
      </w:r>
      <w:r>
        <w:rPr>
          <w:rFonts w:ascii="仿宋_GB2312" w:hAnsi="宋体" w:eastAsia="仿宋_GB2312"/>
          <w:color w:val="000000"/>
          <w:sz w:val="32"/>
          <w:szCs w:val="32"/>
        </w:rPr>
        <w:t>万元，比202</w:t>
      </w:r>
      <w:r>
        <w:rPr>
          <w:rFonts w:hint="eastAsia" w:ascii="仿宋_GB2312" w:hAnsi="宋体" w:eastAsia="仿宋_GB2312"/>
          <w:color w:val="000000"/>
          <w:sz w:val="32"/>
          <w:szCs w:val="32"/>
        </w:rPr>
        <w:t>2</w:t>
      </w:r>
      <w:r>
        <w:rPr>
          <w:rFonts w:ascii="仿宋_GB2312" w:hAnsi="宋体" w:eastAsia="仿宋_GB2312"/>
          <w:color w:val="000000"/>
          <w:sz w:val="32"/>
          <w:szCs w:val="32"/>
        </w:rPr>
        <w:t>年预算数</w:t>
      </w:r>
      <w:r>
        <w:rPr>
          <w:rFonts w:hint="eastAsia" w:ascii="仿宋_GB2312" w:hAnsi="宋体" w:eastAsia="仿宋_GB2312"/>
          <w:color w:val="000000"/>
          <w:sz w:val="32"/>
          <w:szCs w:val="32"/>
        </w:rPr>
        <w:t>305074</w:t>
      </w:r>
      <w:r>
        <w:rPr>
          <w:rFonts w:ascii="仿宋_GB2312" w:hAnsi="宋体" w:eastAsia="仿宋_GB2312"/>
          <w:color w:val="000000"/>
          <w:sz w:val="32"/>
          <w:szCs w:val="32"/>
        </w:rPr>
        <w:t>万元</w:t>
      </w:r>
      <w:r>
        <w:rPr>
          <w:rFonts w:hint="eastAsia" w:ascii="仿宋_GB2312" w:hAnsi="宋体" w:eastAsia="仿宋_GB2312"/>
          <w:color w:val="000000"/>
          <w:sz w:val="32"/>
          <w:szCs w:val="32"/>
        </w:rPr>
        <w:t>减少29985</w:t>
      </w:r>
      <w:r>
        <w:rPr>
          <w:rFonts w:ascii="仿宋_GB2312" w:hAnsi="宋体" w:eastAsia="仿宋_GB2312"/>
          <w:color w:val="000000"/>
          <w:sz w:val="32"/>
          <w:szCs w:val="32"/>
        </w:rPr>
        <w:t>万元，</w:t>
      </w:r>
      <w:r>
        <w:rPr>
          <w:rFonts w:hint="eastAsia" w:ascii="仿宋_GB2312" w:hAnsi="宋体" w:eastAsia="仿宋_GB2312"/>
          <w:color w:val="000000"/>
          <w:sz w:val="32"/>
          <w:szCs w:val="32"/>
        </w:rPr>
        <w:t>下降9.83</w:t>
      </w:r>
      <w:r>
        <w:rPr>
          <w:rFonts w:ascii="仿宋_GB2312" w:hAnsi="宋体" w:eastAsia="仿宋_GB2312"/>
          <w:color w:val="000000"/>
          <w:sz w:val="32"/>
          <w:szCs w:val="32"/>
        </w:rPr>
        <w:t>%。</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2.政府性基金预算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政府性基金收入预算安排57090万元，其中：国有土地使用权出让金收入安排5000万元，上级补助收入（市级返还国有土地使用权出让收入）52000万元，城市基础设施配套费收入90万元。政府性基金支出预算安排57090万元，其中：国有土地使用权出让金收入安排支出45523万元，城市基础设施配套费相关支出90万元，专项债券利息支出5477万元，调出资金6000万元。收支相抵，实现收支平衡。</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3.社保基金预算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社会保险基金收入51525万元，支出45086万元。其中：城乡居民基本养老保险基金收入14555万元，支出10063万元；机关事业单位养老保险基金收入36970万元，支出35023万元。收支相抵，社保基金本年收支结余6439万元。</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4.国有资本经营预算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国有资本经营预算收入660万元。其中：益阳市资阳区国有资产服务中心10万元，益阳市创鑫建设投资有限公司40万元，益阳市资阳区发展集团有限公司610万元。按照收支平衡的原则，2023年支出预算安排其他支出660万元。</w:t>
      </w:r>
    </w:p>
    <w:p>
      <w:pPr>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（二）2023年财政预算支出重点及财政工作思路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2023年财政工作将紧紧围绕区委、区政府的决策部署，</w:t>
      </w:r>
      <w:r>
        <w:rPr>
          <w:rFonts w:hint="eastAsia" w:ascii="仿宋_GB2312" w:hAnsi="宋体" w:eastAsia="仿宋_GB2312"/>
          <w:color w:val="000000"/>
          <w:sz w:val="32"/>
          <w:szCs w:val="32"/>
          <w:u w:val="single" w:color="FFFFFF"/>
        </w:rPr>
        <w:t>兜牢“三保”底线、</w:t>
      </w:r>
      <w:r>
        <w:rPr>
          <w:rFonts w:hint="eastAsia" w:ascii="仿宋_GB2312" w:eastAsia="仿宋_GB2312"/>
          <w:sz w:val="32"/>
          <w:szCs w:val="32"/>
        </w:rPr>
        <w:t>做好“六稳”工作、落实“六保”任务，重点做好以下几个方面的工作：</w:t>
      </w:r>
    </w:p>
    <w:p>
      <w:pPr>
        <w:pStyle w:val="2"/>
        <w:spacing w:line="560" w:lineRule="exact"/>
        <w:ind w:firstLine="643" w:firstLineChars="200"/>
        <w:rPr>
          <w:rFonts w:ascii="仿宋_GB2312" w:hAnsi="仿宋_GB2312" w:eastAsia="仿宋_GB2312" w:cs="仿宋_GB2312"/>
          <w:b/>
          <w:bCs/>
          <w:sz w:val="32"/>
          <w:szCs w:val="32"/>
        </w:rPr>
      </w:pPr>
      <w:r>
        <w:rPr>
          <w:rFonts w:hint="eastAsia" w:ascii="仿宋_GB2312" w:eastAsia="仿宋_GB2312"/>
          <w:b/>
          <w:bCs/>
          <w:sz w:val="32"/>
          <w:szCs w:val="32"/>
        </w:rPr>
        <w:t>1.</w:t>
      </w:r>
      <w:r>
        <w:rPr>
          <w:rFonts w:hint="eastAsia" w:ascii="仿宋_GB2312" w:hAnsi="仿宋_GB2312" w:eastAsia="仿宋_GB2312" w:cs="仿宋_GB2312"/>
          <w:b/>
          <w:bCs/>
          <w:sz w:val="32"/>
          <w:szCs w:val="32"/>
        </w:rPr>
        <w:t>狠抓财源建设，着力聚财增收</w:t>
      </w:r>
    </w:p>
    <w:p>
      <w:pPr>
        <w:pStyle w:val="2"/>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一是加强政策扶持。</w:t>
      </w:r>
      <w:r>
        <w:rPr>
          <w:rFonts w:hint="eastAsia" w:ascii="仿宋_GB2312" w:hAnsi="仿宋_GB2312" w:eastAsia="仿宋_GB2312" w:cs="仿宋_GB2312"/>
          <w:sz w:val="32"/>
          <w:szCs w:val="32"/>
        </w:rPr>
        <w:t>财政资金杠杆化，继续安排产业扶持资金，鼓励企业加快上市步伐、加大科技投入、实施人才战略。</w:t>
      </w:r>
      <w:r>
        <w:rPr>
          <w:rFonts w:hint="eastAsia" w:ascii="仿宋_GB2312" w:hAnsi="仿宋_GB2312" w:eastAsia="仿宋_GB2312" w:cs="仿宋_GB2312"/>
          <w:b/>
          <w:bCs/>
          <w:sz w:val="32"/>
          <w:szCs w:val="32"/>
        </w:rPr>
        <w:t>二是加快园区发展。</w:t>
      </w:r>
      <w:r>
        <w:rPr>
          <w:rFonts w:hint="eastAsia" w:ascii="仿宋_GB2312" w:hAnsi="仿宋_GB2312" w:eastAsia="仿宋_GB2312" w:cs="仿宋_GB2312"/>
          <w:sz w:val="32"/>
          <w:szCs w:val="32"/>
        </w:rPr>
        <w:t>继续腾出资金支持园区引进一批投资规模大、质量结构优、发展前景好、税收贡献度高的项目，招引优势产业上下游企业入驻园区，实现产业链延伸。</w:t>
      </w:r>
      <w:r>
        <w:rPr>
          <w:rFonts w:hint="eastAsia" w:ascii="仿宋_GB2312" w:hAnsi="仿宋_GB2312" w:eastAsia="仿宋_GB2312" w:cs="仿宋_GB2312"/>
          <w:b/>
          <w:bCs/>
          <w:sz w:val="32"/>
          <w:szCs w:val="32"/>
        </w:rPr>
        <w:t>三是落实减税降费政策。</w:t>
      </w:r>
      <w:r>
        <w:rPr>
          <w:rFonts w:hint="eastAsia" w:ascii="仿宋_GB2312" w:hAnsi="仿宋_GB2312" w:eastAsia="仿宋_GB2312" w:cs="仿宋_GB2312"/>
          <w:sz w:val="32"/>
          <w:szCs w:val="32"/>
        </w:rPr>
        <w:t>继续用好中央减、缓、免税窗口期政策，尽可能让企业“轻装上阵”，激发其最大潜力，为财政发展提供持续不断的财源。</w:t>
      </w:r>
    </w:p>
    <w:p>
      <w:pPr>
        <w:pStyle w:val="2"/>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2.盘活国有资产，增加区级可用财力</w:t>
      </w:r>
    </w:p>
    <w:p>
      <w:pPr>
        <w:pStyle w:val="2"/>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一是查清家底，建立台账。</w:t>
      </w:r>
      <w:r>
        <w:rPr>
          <w:rFonts w:hint="eastAsia" w:ascii="仿宋_GB2312" w:hAnsi="仿宋_GB2312" w:eastAsia="仿宋_GB2312" w:cs="仿宋_GB2312"/>
          <w:bCs/>
          <w:color w:val="000000"/>
          <w:kern w:val="36"/>
          <w:sz w:val="32"/>
          <w:szCs w:val="32"/>
        </w:rPr>
        <w:t>进一步摸清机关企事业单位闲置资产总量及结构，实时掌握国有资产的动向及使用情况，促进国有资产合理有效配置，确保每项资产处置都在监督下进行。</w:t>
      </w:r>
      <w:r>
        <w:rPr>
          <w:rFonts w:hint="eastAsia" w:ascii="仿宋_GB2312" w:hAnsi="仿宋_GB2312" w:eastAsia="仿宋_GB2312" w:cs="仿宋_GB2312"/>
          <w:b/>
          <w:color w:val="000000"/>
          <w:kern w:val="36"/>
          <w:sz w:val="32"/>
          <w:szCs w:val="32"/>
        </w:rPr>
        <w:t>二是强化管理，提效增值。</w:t>
      </w:r>
      <w:r>
        <w:rPr>
          <w:rFonts w:hint="eastAsia" w:ascii="仿宋_GB2312" w:hAnsi="仿宋_GB2312" w:eastAsia="仿宋_GB2312" w:cs="仿宋_GB2312"/>
          <w:bCs/>
          <w:color w:val="000000"/>
          <w:kern w:val="36"/>
          <w:sz w:val="32"/>
          <w:szCs w:val="32"/>
        </w:rPr>
        <w:t>进一步规范行政事业单位资产管理，将部分闲置资产进行交易处置，同时督促国有企业对经营性资产进行科学管理，提效增值。</w:t>
      </w:r>
      <w:r>
        <w:rPr>
          <w:rFonts w:hint="eastAsia" w:ascii="仿宋_GB2312" w:hAnsi="仿宋_GB2312" w:eastAsia="仿宋_GB2312" w:cs="仿宋_GB2312"/>
          <w:b/>
          <w:color w:val="000000"/>
          <w:kern w:val="36"/>
          <w:sz w:val="32"/>
          <w:szCs w:val="32"/>
        </w:rPr>
        <w:t>三是深掘价值，盘活闲置。</w:t>
      </w:r>
      <w:r>
        <w:rPr>
          <w:rFonts w:hint="eastAsia" w:ascii="仿宋_GB2312" w:hAnsi="仿宋_GB2312" w:eastAsia="仿宋_GB2312" w:cs="仿宋_GB2312"/>
          <w:bCs/>
          <w:color w:val="000000"/>
          <w:kern w:val="36"/>
          <w:sz w:val="32"/>
          <w:szCs w:val="32"/>
        </w:rPr>
        <w:t>严格执行资产测量评估、公告公示、进场交易、公开拍卖、所得收入依法缴入国库等相关规定，加快推进国有闲置资产盘活，做到物尽其用，挖掘闲置资产的最大经济效益。</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3.严格项目管理，防范化解债务风险</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一是解读政策精神，明确责任清单。</w:t>
      </w:r>
      <w:r>
        <w:rPr>
          <w:rFonts w:hint="eastAsia" w:ascii="仿宋_GB2312" w:eastAsia="仿宋_GB2312"/>
          <w:sz w:val="32"/>
          <w:szCs w:val="32"/>
        </w:rPr>
        <w:t>围绕政府债务管理“开前门促发展、堵后门防风险”两大工作主线，制定部门责任清单。　　</w:t>
      </w:r>
      <w:r>
        <w:rPr>
          <w:rFonts w:hint="eastAsia" w:ascii="仿宋_GB2312" w:eastAsia="仿宋_GB2312"/>
          <w:b/>
          <w:bCs/>
          <w:sz w:val="32"/>
          <w:szCs w:val="32"/>
        </w:rPr>
        <w:t>二是巩固巡察成果，建立长效机制。</w:t>
      </w:r>
      <w:r>
        <w:rPr>
          <w:rFonts w:hint="eastAsia" w:ascii="仿宋_GB2312" w:eastAsia="仿宋_GB2312"/>
          <w:sz w:val="32"/>
          <w:szCs w:val="32"/>
        </w:rPr>
        <w:t>结合违规举债和虚假化债专项巡察的指导意见，在严格执行上级文件规定的基础上提出更明确、更严格的要求，不断巩固我区近年来债务风险防范化解成果。</w:t>
      </w:r>
      <w:r>
        <w:rPr>
          <w:rFonts w:hint="eastAsia" w:ascii="仿宋_GB2312" w:eastAsia="仿宋_GB2312"/>
          <w:b/>
          <w:bCs/>
          <w:sz w:val="32"/>
          <w:szCs w:val="32"/>
        </w:rPr>
        <w:t>三是强化过程监督，提升资金效能。</w:t>
      </w:r>
      <w:r>
        <w:rPr>
          <w:rFonts w:hint="eastAsia" w:ascii="仿宋_GB2312" w:eastAsia="仿宋_GB2312"/>
          <w:sz w:val="32"/>
          <w:szCs w:val="32"/>
        </w:rPr>
        <w:t>执行地方政府债务风险评估机制、预警机制、风险应急处置机制，多渠道降低债务风险，统筹强化政府债务借、用、管、还等环节的管理工作，提升资金使用效能。</w:t>
      </w:r>
    </w:p>
    <w:p>
      <w:pPr>
        <w:pStyle w:val="2"/>
        <w:spacing w:line="560" w:lineRule="exact"/>
        <w:ind w:firstLine="643" w:firstLineChars="200"/>
        <w:rPr>
          <w:rFonts w:ascii="仿宋_GB2312" w:hAnsi="Calibri" w:eastAsia="仿宋_GB2312"/>
          <w:b/>
          <w:bCs/>
          <w:sz w:val="32"/>
          <w:szCs w:val="32"/>
        </w:rPr>
      </w:pPr>
      <w:r>
        <w:rPr>
          <w:rFonts w:hint="eastAsia" w:ascii="仿宋_GB2312" w:hAnsi="Calibri" w:eastAsia="仿宋_GB2312"/>
          <w:b/>
          <w:bCs/>
          <w:sz w:val="32"/>
          <w:szCs w:val="32"/>
        </w:rPr>
        <w:t>4.坚持勤俭节约，优化支出结构</w:t>
      </w:r>
    </w:p>
    <w:p>
      <w:pPr>
        <w:pStyle w:val="2"/>
        <w:spacing w:line="560" w:lineRule="exact"/>
        <w:ind w:firstLine="643" w:firstLineChars="200"/>
        <w:rPr>
          <w:rFonts w:ascii="仿宋_GB2312" w:eastAsia="仿宋_GB2312"/>
          <w:sz w:val="32"/>
          <w:szCs w:val="32"/>
        </w:rPr>
      </w:pPr>
      <w:r>
        <w:rPr>
          <w:rFonts w:hint="eastAsia" w:ascii="仿宋_GB2312" w:hAnsi="Calibri" w:eastAsia="仿宋_GB2312"/>
          <w:b/>
          <w:bCs/>
          <w:sz w:val="32"/>
          <w:szCs w:val="32"/>
        </w:rPr>
        <w:t>一是压一般。</w:t>
      </w:r>
      <w:r>
        <w:rPr>
          <w:rFonts w:hint="eastAsia" w:ascii="仿宋_GB2312" w:eastAsia="仿宋_GB2312"/>
          <w:sz w:val="32"/>
          <w:szCs w:val="32"/>
        </w:rPr>
        <w:t>2023年财政收支将面临更加严峻挑战，为确保全年收支平衡，参照中央、省、市做法，非“三保”类专项压减20%，共计压减专项2251万元，其中部门单位压减1119万元，压减出的财力全部用于差额人员负担比例从60%提高至65%、自收自支人员定额2万元/人·年的支出。</w:t>
      </w:r>
      <w:r>
        <w:rPr>
          <w:rFonts w:hint="eastAsia" w:ascii="仿宋_GB2312" w:eastAsia="仿宋_GB2312"/>
          <w:b/>
          <w:sz w:val="32"/>
          <w:szCs w:val="32"/>
        </w:rPr>
        <w:t>二是保基本民生。</w:t>
      </w:r>
      <w:r>
        <w:rPr>
          <w:rFonts w:hint="eastAsia" w:ascii="仿宋_GB2312" w:eastAsia="仿宋_GB2312"/>
          <w:sz w:val="32"/>
          <w:szCs w:val="32"/>
        </w:rPr>
        <w:t>安排社会福利、低保及困难群体救助、城乡养老保险配套、医疗补助、再就业配套等专项资金3472万元；安排教育专项4716万元，安排城乡居民医保配套、卫生综合改革配套、城市公立医院综合改革、基本公共卫生配套、疫情防控等专项资金</w:t>
      </w:r>
      <w:r>
        <w:rPr>
          <w:rFonts w:hint="eastAsia" w:ascii="仿宋_GB2312" w:eastAsia="仿宋_GB2312"/>
          <w:sz w:val="32"/>
          <w:szCs w:val="32"/>
          <w:lang w:val="en-US" w:eastAsia="zh-CN"/>
        </w:rPr>
        <w:t>9</w:t>
      </w:r>
      <w:r>
        <w:rPr>
          <w:rFonts w:hint="eastAsia" w:ascii="仿宋_GB2312" w:eastAsia="仿宋_GB2312"/>
          <w:sz w:val="32"/>
          <w:szCs w:val="32"/>
        </w:rPr>
        <w:t>442万元，兜牢民生底线，压实民生支出责任。</w:t>
      </w:r>
      <w:r>
        <w:rPr>
          <w:rFonts w:hint="eastAsia" w:ascii="仿宋_GB2312" w:eastAsia="仿宋_GB2312"/>
          <w:b/>
          <w:sz w:val="32"/>
          <w:szCs w:val="32"/>
        </w:rPr>
        <w:t>三是保工资。</w:t>
      </w:r>
      <w:r>
        <w:rPr>
          <w:rFonts w:hint="eastAsia" w:ascii="仿宋_GB2312" w:eastAsia="仿宋_GB2312"/>
          <w:sz w:val="32"/>
          <w:szCs w:val="32"/>
        </w:rPr>
        <w:t>安排工资福利支出61038万元，其中工资性支出43383万元，工资附加支出（养老、医疗、生育、职业年金、住房公积金）16305万元，分流人员生活补助及附加支出（社保、医保、住房公积金）1350万元。落实离退休人员待遇，安排机关事业单位养老保险兜底资金26546万元，安排企业职工养老保险配套资金450万元，安排离休干部待遇392万元。</w:t>
      </w:r>
      <w:r>
        <w:rPr>
          <w:rFonts w:hint="eastAsia" w:ascii="仿宋_GB2312" w:eastAsia="仿宋_GB2312"/>
          <w:b/>
          <w:bCs/>
          <w:sz w:val="32"/>
          <w:szCs w:val="32"/>
        </w:rPr>
        <w:t>四是</w:t>
      </w:r>
      <w:r>
        <w:rPr>
          <w:rFonts w:hint="eastAsia" w:ascii="仿宋_GB2312" w:eastAsia="仿宋_GB2312"/>
          <w:b/>
          <w:sz w:val="32"/>
          <w:szCs w:val="32"/>
        </w:rPr>
        <w:t>保运转。</w:t>
      </w:r>
      <w:r>
        <w:rPr>
          <w:rFonts w:hint="eastAsia" w:ascii="仿宋_GB2312" w:eastAsia="仿宋_GB2312"/>
          <w:sz w:val="32"/>
          <w:szCs w:val="32"/>
        </w:rPr>
        <w:t>区直部门单位公务费按年人均5000元的标准，共计安排1323万元，公务用车运行维护费安排162万元；乡镇街道转移支付、乡镇运转经费、乡镇街道（工业园）综合治理经费合计安排785万元；安排乡镇街道社区经费544万元，乡镇街道社区惠民资金255万元，安排村级运转经费2594万元。持续优化支出结构，确保部门和乡（镇、街道）、村两级基本运转经费需求。</w:t>
      </w:r>
      <w:r>
        <w:rPr>
          <w:rFonts w:hint="eastAsia" w:ascii="仿宋_GB2312" w:eastAsia="仿宋_GB2312"/>
          <w:b/>
          <w:bCs/>
          <w:sz w:val="32"/>
          <w:szCs w:val="32"/>
        </w:rPr>
        <w:t>五是</w:t>
      </w:r>
      <w:r>
        <w:rPr>
          <w:rFonts w:hint="eastAsia" w:ascii="仿宋_GB2312" w:eastAsia="仿宋_GB2312"/>
          <w:b/>
          <w:sz w:val="32"/>
          <w:szCs w:val="32"/>
        </w:rPr>
        <w:t>保重点。</w:t>
      </w:r>
      <w:r>
        <w:rPr>
          <w:rFonts w:hint="eastAsia" w:ascii="仿宋_GB2312" w:eastAsia="仿宋_GB2312"/>
          <w:sz w:val="32"/>
          <w:szCs w:val="32"/>
        </w:rPr>
        <w:t>紧紧围绕乡村振兴等国家战略，安排资金2400万元，其中乡村振兴衔接资金1100万元、乡村振兴500万元、六个一工程800万元。安排资金9877万元，着力防范化解风险，其中债券利息6809万元，偿债准备金3000万元，小额担保贷款贴息68万元。支持项目建设，安排配套资金5000万元。</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lang w:eastAsia="zh-CN"/>
        </w:rPr>
        <w:t>各位代表</w:t>
      </w:r>
      <w:r>
        <w:rPr>
          <w:rFonts w:hint="eastAsia" w:ascii="仿宋_GB2312" w:eastAsia="仿宋_GB2312"/>
          <w:sz w:val="32"/>
          <w:szCs w:val="32"/>
        </w:rPr>
        <w:t>，</w:t>
      </w:r>
      <w:r>
        <w:rPr>
          <w:rFonts w:hint="eastAsia" w:ascii="仿宋_GB2312" w:hAnsi="仿宋_GB2312" w:eastAsia="仿宋_GB2312" w:cs="仿宋_GB2312"/>
          <w:sz w:val="32"/>
          <w:szCs w:val="32"/>
        </w:rPr>
        <w:t>今年是党的二十大召开之年，是进入全面建设社会主义现代化国家、向第二个百年奋斗目标进军新征程的重要一年。</w:t>
      </w:r>
      <w:r>
        <w:rPr>
          <w:rFonts w:hint="eastAsia" w:ascii="仿宋_GB2312" w:eastAsia="仿宋_GB2312"/>
          <w:sz w:val="32"/>
          <w:szCs w:val="32"/>
        </w:rPr>
        <w:t>在全区各界的关心支持下，财政运行平稳，</w:t>
      </w:r>
      <w:r>
        <w:rPr>
          <w:rFonts w:hint="eastAsia" w:ascii="仿宋_GB2312" w:hAnsi="仿宋_GB2312" w:eastAsia="仿宋_GB2312" w:cs="仿宋_GB2312"/>
          <w:sz w:val="32"/>
          <w:szCs w:val="32"/>
        </w:rPr>
        <w:t>财政工作即将交出较好的答卷</w:t>
      </w:r>
      <w:r>
        <w:rPr>
          <w:rFonts w:hint="eastAsia" w:ascii="仿宋_GB2312" w:eastAsia="仿宋_GB2312"/>
          <w:sz w:val="32"/>
          <w:szCs w:val="32"/>
        </w:rPr>
        <w:t>。2023年，我们将在区委的坚强领导和区人大</w:t>
      </w:r>
      <w:r>
        <w:rPr>
          <w:rFonts w:hint="eastAsia" w:ascii="仿宋_GB2312" w:eastAsia="仿宋_GB2312"/>
          <w:sz w:val="32"/>
          <w:szCs w:val="32"/>
          <w:lang w:eastAsia="zh-CN"/>
        </w:rPr>
        <w:t>、区政协</w:t>
      </w:r>
      <w:r>
        <w:rPr>
          <w:rFonts w:hint="eastAsia" w:ascii="仿宋_GB2312" w:eastAsia="仿宋_GB2312"/>
          <w:sz w:val="32"/>
          <w:szCs w:val="32"/>
        </w:rPr>
        <w:t>的监督支持下，将“党建引领”贯穿财政工作始终，</w:t>
      </w:r>
      <w:r>
        <w:rPr>
          <w:rFonts w:hint="eastAsia" w:ascii="仿宋_GB2312" w:hAnsi="仿宋_GB2312" w:eastAsia="仿宋_GB2312" w:cs="仿宋_GB2312"/>
          <w:sz w:val="32"/>
          <w:szCs w:val="32"/>
        </w:rPr>
        <w:t>迎难而上，锐意进取，</w:t>
      </w:r>
      <w:r>
        <w:rPr>
          <w:rFonts w:hint="eastAsia" w:ascii="仿宋_GB2312" w:hAnsi="仿宋_GB2312" w:eastAsia="仿宋_GB2312" w:cs="仿宋_GB2312"/>
          <w:color w:val="000000"/>
          <w:sz w:val="32"/>
          <w:szCs w:val="32"/>
        </w:rPr>
        <w:t>高举中国特色社会主义伟大旗帜，以习近平新时代中国特色社会主义思想为指导，</w:t>
      </w:r>
      <w:r>
        <w:rPr>
          <w:rFonts w:hint="eastAsia" w:ascii="仿宋_GB2312" w:hAnsi="仿宋_GB2312" w:eastAsia="仿宋_GB2312" w:cs="仿宋_GB2312"/>
          <w:color w:val="000000"/>
          <w:sz w:val="32"/>
          <w:szCs w:val="32"/>
          <w:lang w:eastAsia="zh-CN"/>
        </w:rPr>
        <w:t>深入贯彻党的二十大精神，</w:t>
      </w:r>
      <w:r>
        <w:rPr>
          <w:rFonts w:hint="eastAsia" w:ascii="仿宋_GB2312" w:hAnsi="仿宋_GB2312" w:eastAsia="仿宋_GB2312" w:cs="仿宋_GB2312"/>
          <w:color w:val="000000"/>
          <w:sz w:val="32"/>
          <w:szCs w:val="32"/>
        </w:rPr>
        <w:t>认真落实“三高四新”战略，高效</w:t>
      </w:r>
      <w:r>
        <w:rPr>
          <w:rFonts w:hint="eastAsia" w:ascii="仿宋_GB2312" w:hAnsi="仿宋_GB2312" w:eastAsia="仿宋_GB2312" w:cs="仿宋_GB2312"/>
          <w:sz w:val="32"/>
          <w:szCs w:val="32"/>
        </w:rPr>
        <w:t>统筹疫情防控和经济社会发展、更好统筹发展与安全，</w:t>
      </w:r>
      <w:r>
        <w:rPr>
          <w:rFonts w:hint="eastAsia" w:ascii="仿宋_GB2312" w:eastAsia="仿宋_GB2312"/>
          <w:sz w:val="32"/>
          <w:szCs w:val="32"/>
        </w:rPr>
        <w:t>全面提升财政管理水平，</w:t>
      </w:r>
      <w:r>
        <w:rPr>
          <w:rFonts w:hint="eastAsia" w:ascii="仿宋_GB2312" w:eastAsia="仿宋_GB2312"/>
          <w:color w:val="000000"/>
          <w:sz w:val="32"/>
          <w:szCs w:val="32"/>
        </w:rPr>
        <w:t>为建设幸福新资阳而努力奋斗！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以上报告，请予审议。</w:t>
      </w:r>
    </w:p>
    <w:p>
      <w:pPr>
        <w:pStyle w:val="2"/>
        <w:rPr>
          <w:rFonts w:hint="eastAsia" w:ascii="仿宋_GB2312" w:eastAsia="仿宋_GB2312"/>
          <w:sz w:val="32"/>
          <w:szCs w:val="32"/>
        </w:rPr>
      </w:pPr>
    </w:p>
    <w:p>
      <w:pPr>
        <w:rPr>
          <w:rFonts w:hint="eastAsia" w:ascii="仿宋_GB2312" w:eastAsia="仿宋_GB2312"/>
          <w:sz w:val="32"/>
          <w:szCs w:val="32"/>
        </w:rPr>
      </w:pPr>
    </w:p>
    <w:p>
      <w:pPr>
        <w:pageBreakBefore/>
        <w:spacing w:line="560" w:lineRule="exact"/>
        <w:jc w:val="center"/>
        <w:rPr>
          <w:rFonts w:ascii="Arial" w:hAnsi="Arial" w:cs="Arial"/>
          <w:color w:val="333333"/>
          <w:sz w:val="28"/>
          <w:szCs w:val="28"/>
        </w:rPr>
      </w:pPr>
      <w:r>
        <w:rPr>
          <w:rFonts w:hint="eastAsia" w:ascii="方正小标宋简体" w:hAnsi="方正小标宋简体" w:eastAsia="方正小标宋简体" w:cs="方正小标宋简体"/>
          <w:sz w:val="44"/>
          <w:szCs w:val="44"/>
        </w:rPr>
        <w:t>名  词  注  释</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①</w:t>
      </w:r>
      <w:r>
        <w:rPr>
          <w:rFonts w:hint="eastAsia" w:ascii="仿宋_GB2312" w:hAnsi="仿宋_GB2312" w:eastAsia="仿宋_GB2312" w:cs="仿宋_GB2312"/>
          <w:b/>
          <w:bCs/>
          <w:sz w:val="32"/>
          <w:szCs w:val="32"/>
        </w:rPr>
        <w:t>六稳六保：</w:t>
      </w:r>
      <w:r>
        <w:rPr>
          <w:rFonts w:hint="eastAsia" w:ascii="仿宋_GB2312" w:hAnsi="仿宋_GB2312" w:eastAsia="仿宋_GB2312" w:cs="仿宋_GB2312"/>
          <w:sz w:val="32"/>
          <w:szCs w:val="32"/>
        </w:rPr>
        <w:t>“六稳”是指稳就业、稳金融、稳外贸、稳外资、稳投资、稳预期工作；“六保”是指保居民就业、保基本民生、保市场主体、保粮食能源安全、保产业链供应链稳定、保基层运转。</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②</w:t>
      </w:r>
      <w:r>
        <w:rPr>
          <w:rFonts w:hint="eastAsia" w:ascii="仿宋_GB2312" w:hAnsi="仿宋_GB2312" w:eastAsia="仿宋_GB2312" w:cs="仿宋_GB2312"/>
          <w:b/>
          <w:bCs/>
          <w:sz w:val="32"/>
          <w:szCs w:val="32"/>
        </w:rPr>
        <w:t>地方一般预算收入：</w:t>
      </w:r>
      <w:r>
        <w:rPr>
          <w:rFonts w:hint="eastAsia" w:ascii="仿宋_GB2312" w:hAnsi="仿宋_GB2312" w:eastAsia="仿宋_GB2312" w:cs="仿宋_GB2312"/>
          <w:sz w:val="32"/>
          <w:szCs w:val="32"/>
        </w:rPr>
        <w:t>包括税收省以下地方留存部分和非税收入。</w:t>
      </w:r>
    </w:p>
    <w:p>
      <w:pPr>
        <w:spacing w:line="52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③</w:t>
      </w:r>
      <w:r>
        <w:rPr>
          <w:rFonts w:hint="eastAsia" w:ascii="仿宋_GB2312" w:hAnsi="仿宋_GB2312" w:eastAsia="仿宋_GB2312" w:cs="仿宋_GB2312"/>
          <w:b/>
          <w:bCs/>
          <w:sz w:val="32"/>
          <w:szCs w:val="32"/>
          <w:shd w:val="clear" w:color="auto" w:fill="FFFFFF"/>
        </w:rPr>
        <w:t>纯区级收入：</w:t>
      </w:r>
      <w:r>
        <w:rPr>
          <w:rFonts w:hint="eastAsia" w:ascii="仿宋_GB2312" w:hAnsi="仿宋_GB2312" w:eastAsia="仿宋_GB2312" w:cs="仿宋_GB2312"/>
          <w:sz w:val="32"/>
          <w:szCs w:val="32"/>
          <w:shd w:val="clear" w:color="auto" w:fill="FFFFFF"/>
        </w:rPr>
        <w:t>2</w:t>
      </w:r>
      <w:r>
        <w:rPr>
          <w:rFonts w:ascii="仿宋_GB2312" w:hAnsi="仿宋_GB2312" w:eastAsia="仿宋_GB2312" w:cs="仿宋_GB2312"/>
          <w:sz w:val="32"/>
          <w:szCs w:val="32"/>
          <w:shd w:val="clear" w:color="auto" w:fill="FFFFFF"/>
        </w:rPr>
        <w:t>020</w:t>
      </w:r>
      <w:r>
        <w:rPr>
          <w:rFonts w:hint="eastAsia" w:ascii="仿宋_GB2312" w:hAnsi="仿宋_GB2312" w:eastAsia="仿宋_GB2312" w:cs="仿宋_GB2312"/>
          <w:sz w:val="32"/>
          <w:szCs w:val="32"/>
          <w:shd w:val="clear" w:color="auto" w:fill="FFFFFF"/>
        </w:rPr>
        <w:t>年市委市政府调整了市与区财政体制。新体制下，增值税、所得税等8个税种省以下地方收入，市与区按5</w:t>
      </w:r>
      <w:r>
        <w:rPr>
          <w:rFonts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45</w:t>
      </w:r>
      <w:r>
        <w:rPr>
          <w:rFonts w:hint="eastAsia" w:ascii="仿宋_GB2312" w:hAnsi="仿宋_GB2312" w:eastAsia="仿宋_GB2312" w:cs="仿宋_GB2312"/>
          <w:sz w:val="32"/>
          <w:szCs w:val="32"/>
          <w:shd w:val="clear" w:color="auto" w:fill="FFFFFF"/>
        </w:rPr>
        <w:t xml:space="preserve">分享，地方一般预算收入中剔除市级分享部分后的区级实得财力为纯区级收入。 </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④财力性转移支付：</w:t>
      </w:r>
      <w:r>
        <w:rPr>
          <w:rFonts w:hint="eastAsia" w:ascii="仿宋_GB2312" w:hAnsi="仿宋_GB2312" w:eastAsia="仿宋_GB2312" w:cs="仿宋_GB2312"/>
          <w:sz w:val="32"/>
          <w:szCs w:val="32"/>
        </w:rPr>
        <w:t>是指为弥补财政实力薄弱地区的财力缺口，均衡地区间财力差距，实现地区间基本公共服务能力的均衡化，由上级政府安排给下级政府的补助性支出。资金接受者可以根据实际情况自主安排资金用途。我区财力性转移支付包括中央、省分配的一般性转移支付和市区体制下市级划转的财力基数。</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⑤专项用途一般性转移支付：</w:t>
      </w:r>
      <w:r>
        <w:rPr>
          <w:rFonts w:hint="eastAsia" w:ascii="仿宋_GB2312" w:hAnsi="仿宋_GB2312" w:eastAsia="仿宋_GB2312" w:cs="仿宋_GB2312"/>
          <w:sz w:val="32"/>
          <w:szCs w:val="32"/>
        </w:rPr>
        <w:t>即以基数形式下达并指定用途的转移支付。</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⑥一般公共预算支出：</w:t>
      </w:r>
      <w:r>
        <w:rPr>
          <w:rFonts w:hint="eastAsia" w:ascii="仿宋_GB2312" w:hAnsi="仿宋_GB2312" w:eastAsia="仿宋_GB2312" w:cs="仿宋_GB2312"/>
          <w:sz w:val="32"/>
          <w:szCs w:val="32"/>
        </w:rPr>
        <w:t>即财政总支出，包括上级转移支付、上级专项补助、历年结转资金和本级财政资金形成的支出。</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⑦“三保”：</w:t>
      </w:r>
      <w:r>
        <w:rPr>
          <w:rFonts w:hint="eastAsia" w:ascii="仿宋_GB2312" w:hAnsi="仿宋_GB2312" w:eastAsia="仿宋_GB2312" w:cs="仿宋_GB2312"/>
          <w:sz w:val="32"/>
          <w:szCs w:val="32"/>
        </w:rPr>
        <w:t>指保基本民生、保工资、保运转。</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⑧一般性支出：</w:t>
      </w:r>
      <w:r>
        <w:rPr>
          <w:rFonts w:hint="eastAsia" w:ascii="仿宋_GB2312" w:hAnsi="仿宋_GB2312" w:eastAsia="仿宋_GB2312" w:cs="仿宋_GB2312"/>
          <w:sz w:val="32"/>
          <w:szCs w:val="32"/>
        </w:rPr>
        <w:t>指“三公”经费、差旅费、会议费、培训费、维修费、劳务费、日常办公费等开支以及房屋、办公设备、交通工具购置产生的开支。</w:t>
      </w:r>
    </w:p>
    <w:p>
      <w:pPr>
        <w:spacing w:line="520" w:lineRule="exact"/>
        <w:ind w:firstLine="643" w:firstLineChars="200"/>
      </w:pPr>
      <w:r>
        <w:rPr>
          <w:rFonts w:hint="eastAsia" w:ascii="仿宋_GB2312" w:hAnsi="仿宋_GB2312" w:eastAsia="仿宋_GB2312" w:cs="仿宋_GB2312"/>
          <w:b/>
          <w:bCs/>
          <w:sz w:val="32"/>
          <w:szCs w:val="32"/>
        </w:rPr>
        <w:t>⑨“三公”经费：</w:t>
      </w:r>
      <w:r>
        <w:rPr>
          <w:rFonts w:hint="eastAsia" w:ascii="仿宋_GB2312" w:hAnsi="仿宋_GB2312" w:eastAsia="仿宋_GB2312" w:cs="仿宋_GB2312"/>
          <w:sz w:val="32"/>
          <w:szCs w:val="32"/>
        </w:rPr>
        <w:t>指因公出国（境）费、公务接待费、公务用车运行维护费及购置费。</w:t>
      </w:r>
    </w:p>
    <w:sectPr>
      <w:headerReference r:id="rId3" w:type="default"/>
      <w:footerReference r:id="rId4" w:type="default"/>
      <w:footerReference r:id="rId5" w:type="even"/>
      <w:pgSz w:w="11905" w:h="16838"/>
      <w:pgMar w:top="1417" w:right="1417" w:bottom="1417" w:left="1417" w:header="1134" w:footer="113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689" w:wrap="around" w:vAnchor="text" w:hAnchor="margin" w:xAlign="center" w:y="1"/>
      <w:jc w:val="center"/>
      <w:rPr>
        <w:rStyle w:val="12"/>
        <w:sz w:val="24"/>
        <w:szCs w:val="24"/>
      </w:rPr>
    </w:pPr>
    <w:r>
      <w:rPr>
        <w:rStyle w:val="12"/>
        <w:rFonts w:hint="eastAsia"/>
        <w:sz w:val="24"/>
        <w:szCs w:val="24"/>
      </w:rPr>
      <w:t xml:space="preserve">- </w:t>
    </w:r>
    <w:r>
      <w:rPr>
        <w:sz w:val="24"/>
        <w:szCs w:val="24"/>
      </w:rPr>
      <w:fldChar w:fldCharType="begin"/>
    </w:r>
    <w:r>
      <w:rPr>
        <w:rStyle w:val="12"/>
        <w:sz w:val="24"/>
        <w:szCs w:val="24"/>
      </w:rPr>
      <w:instrText xml:space="preserve">PAGE  </w:instrText>
    </w:r>
    <w:r>
      <w:rPr>
        <w:sz w:val="24"/>
        <w:szCs w:val="24"/>
      </w:rPr>
      <w:fldChar w:fldCharType="separate"/>
    </w:r>
    <w:r>
      <w:rPr>
        <w:rStyle w:val="12"/>
        <w:sz w:val="24"/>
        <w:szCs w:val="24"/>
      </w:rPr>
      <w:t>15</w:t>
    </w:r>
    <w:r>
      <w:rPr>
        <w:sz w:val="24"/>
        <w:szCs w:val="24"/>
      </w:rPr>
      <w:fldChar w:fldCharType="end"/>
    </w:r>
    <w:r>
      <w:rPr>
        <w:rFonts w:hint="eastAsia"/>
        <w:sz w:val="24"/>
        <w:szCs w:val="24"/>
      </w:rPr>
      <w:t xml:space="preserve"> </w:t>
    </w:r>
    <w:r>
      <w:rPr>
        <w:rStyle w:val="12"/>
        <w:rFonts w:hint="eastAsia"/>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zBhMDg0ZWZhMWMwYzRiOTg0MmZhZWI4ZDQ0ZjAifQ=="/>
  </w:docVars>
  <w:rsids>
    <w:rsidRoot w:val="5ADA1CA2"/>
    <w:rsid w:val="01C413C7"/>
    <w:rsid w:val="043364CB"/>
    <w:rsid w:val="092808E3"/>
    <w:rsid w:val="0B17001C"/>
    <w:rsid w:val="0C183B6F"/>
    <w:rsid w:val="0D317B38"/>
    <w:rsid w:val="12303649"/>
    <w:rsid w:val="16B26FFE"/>
    <w:rsid w:val="18702CCD"/>
    <w:rsid w:val="1D6E0CAC"/>
    <w:rsid w:val="1E494976"/>
    <w:rsid w:val="21FF5EA1"/>
    <w:rsid w:val="25A73154"/>
    <w:rsid w:val="26413EFB"/>
    <w:rsid w:val="26C50688"/>
    <w:rsid w:val="2AFE4FB3"/>
    <w:rsid w:val="2DDE1701"/>
    <w:rsid w:val="2FDE6C5E"/>
    <w:rsid w:val="2FF74E93"/>
    <w:rsid w:val="32D81743"/>
    <w:rsid w:val="332E5668"/>
    <w:rsid w:val="341E7629"/>
    <w:rsid w:val="344951A9"/>
    <w:rsid w:val="34980F4A"/>
    <w:rsid w:val="3597361B"/>
    <w:rsid w:val="36FD0CD8"/>
    <w:rsid w:val="3850142F"/>
    <w:rsid w:val="38660130"/>
    <w:rsid w:val="3B9308FD"/>
    <w:rsid w:val="3C073192"/>
    <w:rsid w:val="3F7A7BE5"/>
    <w:rsid w:val="3F894F5E"/>
    <w:rsid w:val="401144E6"/>
    <w:rsid w:val="40354679"/>
    <w:rsid w:val="42577B21"/>
    <w:rsid w:val="43E73EDC"/>
    <w:rsid w:val="44F12AD9"/>
    <w:rsid w:val="455A182E"/>
    <w:rsid w:val="46DC431D"/>
    <w:rsid w:val="475F0D01"/>
    <w:rsid w:val="4BEE5516"/>
    <w:rsid w:val="4EC01EBC"/>
    <w:rsid w:val="51D610EC"/>
    <w:rsid w:val="5283320A"/>
    <w:rsid w:val="56270168"/>
    <w:rsid w:val="567A6847"/>
    <w:rsid w:val="58771667"/>
    <w:rsid w:val="5ADA1CA2"/>
    <w:rsid w:val="5D95398E"/>
    <w:rsid w:val="60BE4E23"/>
    <w:rsid w:val="6194177D"/>
    <w:rsid w:val="638A7F74"/>
    <w:rsid w:val="64730C83"/>
    <w:rsid w:val="64AB50DC"/>
    <w:rsid w:val="66C93C02"/>
    <w:rsid w:val="66FE7321"/>
    <w:rsid w:val="69F03381"/>
    <w:rsid w:val="6B46215D"/>
    <w:rsid w:val="6CB63031"/>
    <w:rsid w:val="6FA741B1"/>
    <w:rsid w:val="72E43211"/>
    <w:rsid w:val="766563FD"/>
    <w:rsid w:val="782E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style>
  <w:style w:type="paragraph" w:styleId="3">
    <w:name w:val="annotation text"/>
    <w:qFormat/>
    <w:uiPriority w:val="0"/>
    <w:pPr>
      <w:jc w:val="left"/>
    </w:pPr>
    <w:rPr>
      <w:rFonts w:ascii="Calibri" w:hAnsi="Calibri" w:eastAsia="宋体" w:cs="Times New Roman"/>
    </w:rPr>
  </w:style>
  <w:style w:type="paragraph" w:styleId="4">
    <w:name w:val="Body Text"/>
    <w:basedOn w:val="1"/>
    <w:next w:val="5"/>
    <w:qFormat/>
    <w:uiPriority w:val="0"/>
    <w:pPr>
      <w:spacing w:after="120"/>
    </w:pPr>
    <w:rPr>
      <w:rFonts w:ascii="Calibri" w:hAnsi="Calibri" w:eastAsia="宋体" w:cs="Times New Roman"/>
    </w:rPr>
  </w:style>
  <w:style w:type="paragraph" w:styleId="5">
    <w:name w:val="index 7"/>
    <w:basedOn w:val="1"/>
    <w:next w:val="1"/>
    <w:qFormat/>
    <w:uiPriority w:val="0"/>
    <w:pPr>
      <w:ind w:left="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qFormat/>
    <w:uiPriority w:val="0"/>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TOC1"/>
    <w:basedOn w:val="1"/>
    <w:next w:val="1"/>
    <w:qFormat/>
    <w:uiPriority w:val="0"/>
    <w:rPr>
      <w:rFonts w:ascii="仿宋_GB2312" w:eastAsia="仿宋_GB231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8845</Words>
  <Characters>9626</Characters>
  <Lines>0</Lines>
  <Paragraphs>0</Paragraphs>
  <TotalTime>2</TotalTime>
  <ScaleCrop>false</ScaleCrop>
  <LinksUpToDate>false</LinksUpToDate>
  <CharactersWithSpaces>9642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2022-11-07T00:45:00Z</dcterms:created>
  <dc:creator>断舍离</dc:creator>
  <cp:lastModifiedBy>Gorgeous  eternity</cp:lastModifiedBy>
  <cp:lastPrinted>2022-12-02T11:48:00Z</cp:lastPrinted>
  <dcterms:modified xsi:type="dcterms:W3CDTF">2022-12-14T02:58:06Z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64B2194CBA764B738EA4BF65326E113F</vt:lpwstr>
  </property>
</Properties>
</file>