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right="215"/>
        <w:jc w:val="left"/>
        <w:rPr>
          <w:rFonts w:ascii="楷体" w:hAnsi="楷体" w:eastAsia="楷体" w:cs="楷体_GB2312"/>
          <w:sz w:val="28"/>
          <w:szCs w:val="28"/>
        </w:rPr>
      </w:pPr>
      <w:r>
        <w:rPr>
          <w:rFonts w:hint="eastAsia" w:ascii="楷体" w:hAnsi="楷体" w:eastAsia="楷体" w:cs="楷体_GB2312"/>
          <w:sz w:val="28"/>
          <w:szCs w:val="28"/>
        </w:rPr>
        <w:t>资阳区第六届人大常委会第八次会议资料</w:t>
      </w:r>
    </w:p>
    <w:p>
      <w:pPr>
        <w:autoSpaceDE w:val="0"/>
        <w:spacing w:line="560" w:lineRule="exact"/>
        <w:jc w:val="center"/>
        <w:rPr>
          <w:rFonts w:hint="eastAsia" w:ascii="方正小标宋简体" w:eastAsia="方正小标宋简体"/>
          <w:bCs/>
          <w:spacing w:val="4"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 w:cs="楷体_GB2312"/>
          <w:bCs/>
          <w:spacing w:val="-10"/>
          <w:sz w:val="28"/>
          <w:szCs w:val="28"/>
        </w:rPr>
      </w:pPr>
      <w:r>
        <w:rPr>
          <w:rFonts w:hint="eastAsia" w:ascii="华文中宋" w:hAnsi="华文中宋" w:eastAsia="华文中宋"/>
          <w:bCs/>
          <w:spacing w:val="4"/>
          <w:sz w:val="44"/>
          <w:szCs w:val="44"/>
        </w:rPr>
        <w:t>关于资阳区2022年第二次财政预算调整</w:t>
      </w:r>
      <w:r>
        <w:rPr>
          <w:rFonts w:hint="eastAsia" w:ascii="华文中宋" w:hAnsi="华文中宋" w:eastAsia="华文中宋"/>
          <w:bCs/>
          <w:spacing w:val="4"/>
          <w:sz w:val="44"/>
          <w:szCs w:val="44"/>
          <w:lang w:eastAsia="zh-CN"/>
        </w:rPr>
        <w:t>（</w:t>
      </w:r>
      <w:r>
        <w:rPr>
          <w:rFonts w:hint="eastAsia" w:ascii="华文中宋" w:hAnsi="华文中宋" w:eastAsia="华文中宋"/>
          <w:bCs/>
          <w:spacing w:val="4"/>
          <w:sz w:val="44"/>
          <w:szCs w:val="44"/>
        </w:rPr>
        <w:t>草案</w:t>
      </w:r>
      <w:r>
        <w:rPr>
          <w:rFonts w:hint="eastAsia" w:ascii="华文中宋" w:hAnsi="华文中宋" w:eastAsia="华文中宋"/>
          <w:bCs/>
          <w:spacing w:val="4"/>
          <w:sz w:val="44"/>
          <w:szCs w:val="44"/>
          <w:lang w:eastAsia="zh-CN"/>
        </w:rPr>
        <w:t>）</w:t>
      </w:r>
      <w:r>
        <w:rPr>
          <w:rFonts w:hint="eastAsia" w:ascii="华文中宋" w:hAnsi="华文中宋" w:eastAsia="华文中宋"/>
          <w:bCs/>
          <w:spacing w:val="4"/>
          <w:sz w:val="44"/>
          <w:szCs w:val="44"/>
        </w:rPr>
        <w:t>的报</w:t>
      </w:r>
      <w:r>
        <w:rPr>
          <w:rFonts w:hint="eastAsia" w:ascii="华文中宋" w:hAnsi="华文中宋" w:eastAsia="华文中宋"/>
          <w:bCs/>
          <w:sz w:val="44"/>
          <w:szCs w:val="44"/>
        </w:rPr>
        <w:t>告</w:t>
      </w:r>
    </w:p>
    <w:p>
      <w:pPr>
        <w:autoSpaceDN w:val="0"/>
        <w:snapToGrid w:val="0"/>
        <w:spacing w:line="600" w:lineRule="exact"/>
        <w:jc w:val="center"/>
        <w:rPr>
          <w:rFonts w:ascii="楷体" w:hAnsi="楷体" w:eastAsia="楷体" w:cs="楷体_GB2312"/>
          <w:bCs/>
          <w:color w:val="000000"/>
          <w:w w:val="76"/>
          <w:sz w:val="32"/>
          <w:szCs w:val="32"/>
        </w:rPr>
      </w:pPr>
      <w:r>
        <w:rPr>
          <w:rFonts w:hint="eastAsia" w:ascii="楷体" w:hAnsi="楷体" w:eastAsia="楷体" w:cs="仿宋"/>
          <w:bCs/>
          <w:color w:val="000000"/>
          <w:w w:val="76"/>
          <w:sz w:val="32"/>
          <w:szCs w:val="32"/>
        </w:rPr>
        <w:t>—</w:t>
      </w:r>
      <w:r>
        <w:rPr>
          <w:rFonts w:hint="eastAsia" w:ascii="楷体" w:hAnsi="楷体" w:eastAsia="楷体" w:cs="楷体_GB2312"/>
          <w:bCs/>
          <w:color w:val="000000"/>
          <w:spacing w:val="-6"/>
          <w:w w:val="76"/>
          <w:sz w:val="32"/>
          <w:szCs w:val="32"/>
        </w:rPr>
        <w:t>2022年12月</w:t>
      </w:r>
      <w:r>
        <w:rPr>
          <w:rFonts w:hint="eastAsia" w:ascii="楷体" w:hAnsi="楷体" w:eastAsia="楷体" w:cs="楷体_GB2312"/>
          <w:bCs/>
          <w:color w:val="000000"/>
          <w:spacing w:val="-6"/>
          <w:w w:val="76"/>
          <w:sz w:val="32"/>
          <w:szCs w:val="32"/>
          <w:lang w:val="en-US" w:eastAsia="zh-CN"/>
        </w:rPr>
        <w:t>13</w:t>
      </w:r>
      <w:r>
        <w:rPr>
          <w:rFonts w:hint="eastAsia" w:ascii="楷体" w:hAnsi="楷体" w:eastAsia="楷体" w:cs="楷体_GB2312"/>
          <w:bCs/>
          <w:color w:val="000000"/>
          <w:spacing w:val="-6"/>
          <w:w w:val="76"/>
          <w:sz w:val="32"/>
          <w:szCs w:val="32"/>
        </w:rPr>
        <w:t>日在益阳市资阳区第六届人民代表大会常务委员会第八次会议上</w:t>
      </w:r>
    </w:p>
    <w:p>
      <w:pPr>
        <w:spacing w:line="560" w:lineRule="exact"/>
        <w:jc w:val="center"/>
        <w:rPr>
          <w:rFonts w:ascii="楷体" w:hAnsi="楷体" w:eastAsia="楷体" w:cs="楷体_GB2312"/>
          <w:sz w:val="32"/>
        </w:rPr>
      </w:pPr>
      <w:r>
        <w:rPr>
          <w:rFonts w:hint="eastAsia" w:ascii="楷体" w:hAnsi="楷体" w:eastAsia="楷体" w:cs="楷体_GB2312"/>
          <w:sz w:val="32"/>
        </w:rPr>
        <w:t>资阳区财政局局长  王声权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主任、各位副主任、各位委员：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受区人民政府委托，向</w:t>
      </w:r>
      <w:r>
        <w:rPr>
          <w:rFonts w:hint="eastAsia" w:ascii="仿宋_GB2312" w:eastAsia="仿宋_GB2312"/>
          <w:sz w:val="32"/>
          <w:szCs w:val="32"/>
          <w:lang w:eastAsia="zh-CN"/>
        </w:rPr>
        <w:t>大会</w:t>
      </w:r>
      <w:r>
        <w:rPr>
          <w:rFonts w:hint="eastAsia" w:ascii="仿宋_GB2312" w:eastAsia="仿宋_GB2312"/>
          <w:sz w:val="32"/>
          <w:szCs w:val="32"/>
        </w:rPr>
        <w:t>报告资阳区2022年第二次财政预算调整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草案），请予审议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4" w:leftChars="6" w:firstLine="640" w:firstLineChars="200"/>
        <w:textAlignment w:val="auto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2022年资阳区地方政府新增债券资金安排情况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Hlk10838152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上级下达资阳区地方政府新增债券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限额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9300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万元，其中：新增一般债券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限额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27400万元，新增专项债券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限额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51900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/>
          <w:sz w:val="32"/>
          <w:szCs w:val="32"/>
          <w:lang w:eastAsia="zh-CN"/>
        </w:rPr>
        <w:t>第一次预算调整审议通过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新增一般债券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限额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27400万元，新增专项债券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限额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42600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。第二次预算调整新增限额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9300万元，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新增专项债券资金安排情况：</w:t>
      </w:r>
      <w:r>
        <w:rPr>
          <w:rFonts w:hint="eastAsia" w:ascii="仿宋_GB2312" w:eastAsia="仿宋_GB2312"/>
          <w:sz w:val="32"/>
          <w:szCs w:val="32"/>
        </w:rPr>
        <w:t>长春经开区新材料产业园配套基础设施建设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9300万元。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4" w:leftChars="6" w:firstLine="640" w:firstLineChars="200"/>
        <w:textAlignment w:val="auto"/>
        <w:rPr>
          <w:rFonts w:hint="eastAsia" w:ascii="黑体" w:hAnsi="宋体" w:eastAsia="黑体"/>
          <w:sz w:val="32"/>
          <w:szCs w:val="32"/>
          <w:lang w:val="zh-CN" w:eastAsia="zh-CN"/>
        </w:rPr>
      </w:pPr>
      <w:r>
        <w:rPr>
          <w:rFonts w:hint="eastAsia" w:ascii="黑体" w:hAnsi="宋体" w:eastAsia="黑体"/>
          <w:sz w:val="32"/>
          <w:szCs w:val="32"/>
          <w:lang w:val="zh-CN" w:eastAsia="zh-CN"/>
        </w:rPr>
        <w:t>二、一般公共预算第二次调整情况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/>
        <w:textAlignment w:val="auto"/>
        <w:rPr>
          <w:rFonts w:ascii="仿宋_GB2312" w:hAnsi="Calibri" w:eastAsia="仿宋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</w:t>
      </w:r>
      <w:r>
        <w:rPr>
          <w:rFonts w:hint="eastAsia" w:ascii="仿宋_GB2312" w:hAnsi="Calibri" w:eastAsia="仿宋_GB2312"/>
          <w:b/>
          <w:color w:val="000000"/>
          <w:sz w:val="32"/>
          <w:szCs w:val="32"/>
        </w:rPr>
        <w:t>收入调整情况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/>
        <w:textAlignment w:val="auto"/>
        <w:rPr>
          <w:rFonts w:hint="eastAsia" w:ascii="仿宋_GB2312" w:hAnsi="Calibri" w:eastAsia="仿宋_GB2312"/>
          <w:bCs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财政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收入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总计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调整预算为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430843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万元，调增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25791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万元。地方本级收入调整预算为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44081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万元，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调增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2390万元（按上级指导性任务调整）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；上级补助收入调整预算为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230438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万元，调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增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15799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（按上级预计可下达指标调整）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，其中：一般转移支付收入调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增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15799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万元；新增债券转贷收入调整预算为27400万元；上年结转调整预算为31863万元；调入预算稳定调节基金调整预算为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11924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万元，调增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7606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（从补充预算稳定调节基金中调入）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；调入资金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调整预算为39295万元；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再融资一般债券转贷收入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调整预算为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45842万元，调减4万元（根据湘财预[2022]175号文件调整）。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/>
        <w:textAlignment w:val="auto"/>
        <w:rPr>
          <w:rFonts w:ascii="仿宋_GB2312" w:hAnsi="Calibri" w:eastAsia="仿宋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）</w:t>
      </w:r>
      <w:r>
        <w:rPr>
          <w:rFonts w:hint="eastAsia" w:ascii="仿宋_GB2312" w:hAnsi="Calibri" w:eastAsia="仿宋_GB2312"/>
          <w:b/>
          <w:color w:val="000000"/>
          <w:sz w:val="32"/>
          <w:szCs w:val="32"/>
        </w:rPr>
        <w:t>支出调整情况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财政支出总计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调整预算为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430843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万元，调增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25791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万元。一般公共预算支出调整预算为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301523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万元，调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增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1080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万元，其中：区级财力安排支出调增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1080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（年中追加支出）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；上年结转形成的支出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调整预算为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29162万元，调增29162万元（根据2021年结转指标调整）；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上解支出调整预算为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14215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万元，调增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3402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（根据增值税留抵退税金上解支出调整）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；补充预算稳定调节基金调整预算为1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953万元，调增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1000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（根据福祥农机项目调整）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；结转下年支出调整预算为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28148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万元，调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减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8849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万元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（根据全年预计实际形成支出调整）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；地方政府债券还本支出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调整预算为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val="en-US" w:eastAsia="zh-CN"/>
        </w:rPr>
        <w:t>45842万元，调减4万元（根据湘财预[2022]175号文件调整），收支平衡。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  <w:lang w:val="zh-CN"/>
        </w:rPr>
      </w:pPr>
      <w:r>
        <w:rPr>
          <w:rFonts w:hint="eastAsia" w:ascii="黑体" w:hAnsi="宋体" w:eastAsia="黑体"/>
          <w:sz w:val="32"/>
          <w:szCs w:val="32"/>
          <w:lang w:val="zh-CN" w:eastAsia="zh-CN"/>
        </w:rPr>
        <w:t>三、政府性基金预算第二次调整情况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政府性基金预算收入调整预算合计为137239万元，调增15390万元。</w:t>
      </w:r>
      <w:r>
        <w:rPr>
          <w:rFonts w:hint="eastAsia" w:ascii="仿宋_GB2312" w:eastAsia="仿宋_GB2312"/>
          <w:sz w:val="32"/>
          <w:szCs w:val="32"/>
          <w:lang w:eastAsia="zh-CN"/>
        </w:rPr>
        <w:t>其中：</w:t>
      </w:r>
      <w:r>
        <w:rPr>
          <w:rFonts w:hint="eastAsia" w:ascii="仿宋_GB2312" w:eastAsia="仿宋_GB2312"/>
          <w:sz w:val="32"/>
          <w:szCs w:val="32"/>
        </w:rPr>
        <w:t>政府性基金收入调整预算为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61179</w:t>
      </w:r>
      <w:r>
        <w:rPr>
          <w:rFonts w:hint="eastAsia" w:ascii="仿宋_GB2312" w:eastAsia="仿宋_GB2312"/>
          <w:sz w:val="32"/>
          <w:szCs w:val="32"/>
        </w:rPr>
        <w:t>万元，调</w:t>
      </w:r>
      <w:r>
        <w:rPr>
          <w:rFonts w:hint="eastAsia" w:ascii="仿宋_GB2312" w:eastAsia="仿宋_GB2312"/>
          <w:sz w:val="32"/>
          <w:szCs w:val="32"/>
          <w:lang w:eastAsia="zh-CN"/>
        </w:rPr>
        <w:t>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6090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（土地出让收入增加）</w:t>
      </w:r>
      <w:r>
        <w:rPr>
          <w:rFonts w:hint="eastAsia" w:ascii="仿宋_GB2312" w:eastAsia="仿宋_GB2312"/>
          <w:sz w:val="32"/>
          <w:szCs w:val="32"/>
        </w:rPr>
        <w:t>；上级专项转移支付收入调整预算为3675万元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专项债券收入调整预算为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51900</w:t>
      </w:r>
      <w:r>
        <w:rPr>
          <w:rFonts w:hint="eastAsia" w:ascii="仿宋_GB2312" w:eastAsia="仿宋_GB2312"/>
          <w:sz w:val="32"/>
          <w:szCs w:val="32"/>
        </w:rPr>
        <w:t>万元，调增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9300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（按上级下达限额调整）；上年结转调整预算为20485万元。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政府性基金支出调整预算合计为137239万元，调增15390万元</w:t>
      </w:r>
      <w:r>
        <w:rPr>
          <w:rFonts w:hint="eastAsia" w:ascii="仿宋_GB2312" w:eastAsia="仿宋_GB2312"/>
          <w:sz w:val="32"/>
          <w:szCs w:val="32"/>
          <w:lang w:eastAsia="zh-CN"/>
        </w:rPr>
        <w:t>。其中：</w:t>
      </w:r>
      <w:r>
        <w:rPr>
          <w:rFonts w:hint="eastAsia" w:ascii="仿宋_GB2312" w:eastAsia="仿宋_GB2312"/>
          <w:sz w:val="32"/>
          <w:szCs w:val="32"/>
        </w:rPr>
        <w:t>政府性基金支出调整预算为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107359</w:t>
      </w:r>
      <w:r>
        <w:rPr>
          <w:rFonts w:hint="eastAsia" w:ascii="仿宋_GB2312" w:eastAsia="仿宋_GB2312"/>
          <w:sz w:val="32"/>
          <w:szCs w:val="32"/>
        </w:rPr>
        <w:t>万元，调增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14490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（根据土地出让收入安排的支出调整）</w:t>
      </w:r>
      <w:r>
        <w:rPr>
          <w:rFonts w:hint="eastAsia" w:ascii="仿宋_GB2312" w:eastAsia="仿宋_GB2312"/>
          <w:sz w:val="32"/>
          <w:szCs w:val="32"/>
        </w:rPr>
        <w:t>；调出资金调整预算为21395万元</w:t>
      </w:r>
      <w:r>
        <w:rPr>
          <w:rFonts w:hint="eastAsia" w:ascii="仿宋_GB2312" w:eastAsia="仿宋_GB2312"/>
          <w:sz w:val="32"/>
          <w:szCs w:val="32"/>
          <w:lang w:eastAsia="zh-CN"/>
        </w:rPr>
        <w:t>；上解支出调整预算为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45万元，调增45万元（按预计年终结算上解调整）；</w:t>
      </w:r>
      <w:r>
        <w:rPr>
          <w:rFonts w:hint="eastAsia" w:ascii="仿宋_GB2312" w:eastAsia="仿宋_GB2312"/>
          <w:sz w:val="32"/>
          <w:szCs w:val="32"/>
        </w:rPr>
        <w:t>结转下年调整预算为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8440</w:t>
      </w:r>
      <w:r>
        <w:rPr>
          <w:rFonts w:hint="eastAsia" w:ascii="仿宋_GB2312" w:eastAsia="仿宋_GB2312"/>
          <w:sz w:val="32"/>
          <w:szCs w:val="32"/>
        </w:rPr>
        <w:t>万元，调增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855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  <w:lang w:eastAsia="zh-CN"/>
        </w:rPr>
        <w:t>（根据全年预计实际形成支出调整），</w:t>
      </w:r>
      <w:r>
        <w:rPr>
          <w:rFonts w:hint="eastAsia" w:ascii="仿宋_GB2312" w:eastAsia="仿宋_GB2312"/>
          <w:sz w:val="32"/>
          <w:szCs w:val="32"/>
        </w:rPr>
        <w:t>收支平衡。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4" w:leftChars="6"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第一次预算调整后，根据政府收支活动，财政收支、债券限额、政府采购等发生变化，特提请第二次预算调整。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预算调整后，我们将认真组织执行。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以上报告，请予审议。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MzBhMDg0ZWZhMWMwYzRiOTg0MmZhZWI4ZDQ0ZjAifQ=="/>
  </w:docVars>
  <w:rsids>
    <w:rsidRoot w:val="00000000"/>
    <w:rsid w:val="01E22239"/>
    <w:rsid w:val="02A86215"/>
    <w:rsid w:val="05402B5D"/>
    <w:rsid w:val="0890736C"/>
    <w:rsid w:val="089D623C"/>
    <w:rsid w:val="094B1DE4"/>
    <w:rsid w:val="09DA7FBF"/>
    <w:rsid w:val="0B494C5B"/>
    <w:rsid w:val="0C8E7256"/>
    <w:rsid w:val="0CE309FA"/>
    <w:rsid w:val="0D5B78CC"/>
    <w:rsid w:val="0D994F2D"/>
    <w:rsid w:val="0F674075"/>
    <w:rsid w:val="150F52B3"/>
    <w:rsid w:val="15E64E21"/>
    <w:rsid w:val="18A5551E"/>
    <w:rsid w:val="194A60FB"/>
    <w:rsid w:val="199E0EFD"/>
    <w:rsid w:val="1A124698"/>
    <w:rsid w:val="1B120B96"/>
    <w:rsid w:val="1BDB75A1"/>
    <w:rsid w:val="1CB304A3"/>
    <w:rsid w:val="1E611732"/>
    <w:rsid w:val="1F3617EC"/>
    <w:rsid w:val="20D000A2"/>
    <w:rsid w:val="23B56912"/>
    <w:rsid w:val="24764035"/>
    <w:rsid w:val="24912949"/>
    <w:rsid w:val="24D41EB9"/>
    <w:rsid w:val="25121B0F"/>
    <w:rsid w:val="2519278A"/>
    <w:rsid w:val="25E96718"/>
    <w:rsid w:val="27005011"/>
    <w:rsid w:val="298C2CFC"/>
    <w:rsid w:val="2B3C450F"/>
    <w:rsid w:val="2B3F60AA"/>
    <w:rsid w:val="2BEE4CA2"/>
    <w:rsid w:val="2C33103D"/>
    <w:rsid w:val="2ECE0B69"/>
    <w:rsid w:val="2FB528CA"/>
    <w:rsid w:val="31024E05"/>
    <w:rsid w:val="31163885"/>
    <w:rsid w:val="314A5BD9"/>
    <w:rsid w:val="345B3F4C"/>
    <w:rsid w:val="347B400F"/>
    <w:rsid w:val="34B6291C"/>
    <w:rsid w:val="35C27ABD"/>
    <w:rsid w:val="36B744DF"/>
    <w:rsid w:val="3A353F66"/>
    <w:rsid w:val="3D244C0A"/>
    <w:rsid w:val="3EED5F66"/>
    <w:rsid w:val="41842CFB"/>
    <w:rsid w:val="41987C8B"/>
    <w:rsid w:val="41C00111"/>
    <w:rsid w:val="424D0515"/>
    <w:rsid w:val="433339D2"/>
    <w:rsid w:val="438B1638"/>
    <w:rsid w:val="43D55B0C"/>
    <w:rsid w:val="443F1EB5"/>
    <w:rsid w:val="44834166"/>
    <w:rsid w:val="45245084"/>
    <w:rsid w:val="45863465"/>
    <w:rsid w:val="45D2663F"/>
    <w:rsid w:val="485D1AD2"/>
    <w:rsid w:val="49077D2C"/>
    <w:rsid w:val="4A8334E6"/>
    <w:rsid w:val="4AE07AB4"/>
    <w:rsid w:val="4BA8212B"/>
    <w:rsid w:val="4C44660B"/>
    <w:rsid w:val="4CCA3B4B"/>
    <w:rsid w:val="4CCA7833"/>
    <w:rsid w:val="4DF4033C"/>
    <w:rsid w:val="4DFF5BB0"/>
    <w:rsid w:val="4ED82182"/>
    <w:rsid w:val="508476E3"/>
    <w:rsid w:val="51DF2453"/>
    <w:rsid w:val="53AC7817"/>
    <w:rsid w:val="56145683"/>
    <w:rsid w:val="566D5C6E"/>
    <w:rsid w:val="56A83B38"/>
    <w:rsid w:val="56BF160B"/>
    <w:rsid w:val="59DF3D90"/>
    <w:rsid w:val="5DC97B98"/>
    <w:rsid w:val="5EE8192D"/>
    <w:rsid w:val="5F4261C4"/>
    <w:rsid w:val="5F8846E9"/>
    <w:rsid w:val="5FA701AD"/>
    <w:rsid w:val="5FBB6753"/>
    <w:rsid w:val="6028263C"/>
    <w:rsid w:val="619775EC"/>
    <w:rsid w:val="61E4532B"/>
    <w:rsid w:val="65534535"/>
    <w:rsid w:val="667239C8"/>
    <w:rsid w:val="66F00E63"/>
    <w:rsid w:val="68022828"/>
    <w:rsid w:val="6C067494"/>
    <w:rsid w:val="6D2A1E42"/>
    <w:rsid w:val="6D7B511D"/>
    <w:rsid w:val="70F533D1"/>
    <w:rsid w:val="716E06CD"/>
    <w:rsid w:val="71851FEE"/>
    <w:rsid w:val="724B78D9"/>
    <w:rsid w:val="72724C74"/>
    <w:rsid w:val="72E26A19"/>
    <w:rsid w:val="73071A2C"/>
    <w:rsid w:val="7318415B"/>
    <w:rsid w:val="75246E10"/>
    <w:rsid w:val="76EE0D9D"/>
    <w:rsid w:val="78E47082"/>
    <w:rsid w:val="797F4706"/>
    <w:rsid w:val="79F6647A"/>
    <w:rsid w:val="7A1C1F42"/>
    <w:rsid w:val="7A6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/>
    </w:rPr>
  </w:style>
  <w:style w:type="paragraph" w:styleId="4">
    <w:name w:val="index 7"/>
    <w:basedOn w:val="1"/>
    <w:next w:val="1"/>
    <w:qFormat/>
    <w:uiPriority w:val="0"/>
    <w:rPr>
      <w:rFonts w:ascii="Calibri" w:hAnsi="Calibri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1184</Words>
  <Characters>1412</Characters>
  <Lines>0</Lines>
  <Paragraphs>0</Paragraphs>
  <TotalTime>18</TotalTime>
  <ScaleCrop>false</ScaleCrop>
  <LinksUpToDate>false</LinksUpToDate>
  <CharactersWithSpaces>1415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2022-10-08T06:37:00Z</dcterms:created>
  <dc:creator>Administrator</dc:creator>
  <cp:lastModifiedBy>Gorgeous  eternity</cp:lastModifiedBy>
  <cp:lastPrinted>2022-11-16T03:52:00Z</cp:lastPrinted>
  <dcterms:modified xsi:type="dcterms:W3CDTF">2022-12-11T04:57:14Z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9BDE4D381E5E4F0689B18FFAB153E8E2</vt:lpwstr>
  </property>
</Properties>
</file>