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60"/>
        <w:gridCol w:w="1027"/>
        <w:gridCol w:w="2655"/>
        <w:gridCol w:w="2280"/>
        <w:gridCol w:w="1245"/>
        <w:gridCol w:w="2520"/>
        <w:gridCol w:w="243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5" w:hRule="atLeast"/>
        </w:trPr>
        <w:tc>
          <w:tcPr>
            <w:tcW w:w="14007" w:type="dxa"/>
            <w:gridSpan w:val="8"/>
            <w:tcBorders>
              <w:top w:val="nil"/>
              <w:left w:val="nil"/>
              <w:bottom w:val="single" w:color="auto" w:sz="8" w:space="0"/>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黑体" w:hAnsi="宋体" w:eastAsia="黑体" w:cs="黑体"/>
                <w:i w:val="0"/>
                <w:iCs w:val="0"/>
                <w:caps w:val="0"/>
                <w:color w:val="auto"/>
                <w:spacing w:val="0"/>
                <w:sz w:val="40"/>
                <w:szCs w:val="40"/>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0" w:hRule="atLeast"/>
        </w:trPr>
        <w:tc>
          <w:tcPr>
            <w:tcW w:w="560" w:type="dxa"/>
            <w:tcBorders>
              <w:top w:val="nil"/>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仿宋" w:hAnsi="仿宋" w:eastAsia="仿宋" w:cs="仿宋"/>
                <w:b/>
                <w:bCs/>
                <w:i w:val="0"/>
                <w:iCs w:val="0"/>
                <w:caps w:val="0"/>
                <w:color w:val="auto"/>
                <w:spacing w:val="0"/>
                <w:sz w:val="24"/>
                <w:szCs w:val="24"/>
                <w:u w:val="none"/>
              </w:rPr>
            </w:pPr>
            <w:r>
              <w:rPr>
                <w:rFonts w:hint="eastAsia" w:ascii="仿宋" w:hAnsi="仿宋" w:eastAsia="仿宋" w:cs="仿宋"/>
                <w:b/>
                <w:bCs/>
                <w:i w:val="0"/>
                <w:iCs w:val="0"/>
                <w:caps w:val="0"/>
                <w:color w:val="auto"/>
                <w:spacing w:val="0"/>
                <w:kern w:val="0"/>
                <w:sz w:val="24"/>
                <w:szCs w:val="24"/>
                <w:u w:val="none"/>
                <w:lang w:val="en-US" w:eastAsia="zh-CN" w:bidi="ar"/>
              </w:rPr>
              <w:t>序号</w:t>
            </w:r>
          </w:p>
        </w:tc>
        <w:tc>
          <w:tcPr>
            <w:tcW w:w="1027" w:type="dxa"/>
            <w:tcBorders>
              <w:top w:val="nil"/>
              <w:left w:val="nil"/>
              <w:bottom w:val="single" w:color="auto" w:sz="4"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auto"/>
                <w:spacing w:val="0"/>
                <w:sz w:val="24"/>
                <w:szCs w:val="24"/>
                <w:u w:val="none"/>
              </w:rPr>
            </w:pPr>
            <w:r>
              <w:rPr>
                <w:rFonts w:hint="eastAsia" w:ascii="仿宋" w:hAnsi="仿宋" w:eastAsia="仿宋" w:cs="仿宋"/>
                <w:b/>
                <w:bCs/>
                <w:i w:val="0"/>
                <w:iCs w:val="0"/>
                <w:caps w:val="0"/>
                <w:color w:val="auto"/>
                <w:spacing w:val="0"/>
                <w:kern w:val="0"/>
                <w:sz w:val="24"/>
                <w:szCs w:val="24"/>
                <w:u w:val="none"/>
                <w:lang w:val="en-US" w:eastAsia="zh-CN" w:bidi="ar"/>
              </w:rPr>
              <w:t>执法项目大类</w:t>
            </w:r>
          </w:p>
        </w:tc>
        <w:tc>
          <w:tcPr>
            <w:tcW w:w="2655" w:type="dxa"/>
            <w:tcBorders>
              <w:top w:val="nil"/>
              <w:left w:val="nil"/>
              <w:bottom w:val="single" w:color="auto" w:sz="4"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auto"/>
                <w:spacing w:val="0"/>
                <w:sz w:val="24"/>
                <w:szCs w:val="24"/>
                <w:u w:val="none"/>
              </w:rPr>
            </w:pPr>
            <w:r>
              <w:rPr>
                <w:rFonts w:hint="eastAsia" w:ascii="仿宋" w:hAnsi="仿宋" w:eastAsia="仿宋" w:cs="仿宋"/>
                <w:b/>
                <w:bCs/>
                <w:i w:val="0"/>
                <w:iCs w:val="0"/>
                <w:caps w:val="0"/>
                <w:color w:val="auto"/>
                <w:spacing w:val="0"/>
                <w:kern w:val="0"/>
                <w:sz w:val="24"/>
                <w:szCs w:val="24"/>
                <w:u w:val="none"/>
                <w:lang w:val="en-US" w:eastAsia="zh-CN" w:bidi="ar"/>
              </w:rPr>
              <w:t>具体执法项目</w:t>
            </w:r>
          </w:p>
        </w:tc>
        <w:tc>
          <w:tcPr>
            <w:tcW w:w="2280" w:type="dxa"/>
            <w:tcBorders>
              <w:top w:val="nil"/>
              <w:left w:val="nil"/>
              <w:bottom w:val="single" w:color="auto" w:sz="4"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auto"/>
                <w:spacing w:val="0"/>
                <w:sz w:val="24"/>
                <w:szCs w:val="24"/>
                <w:u w:val="none"/>
              </w:rPr>
            </w:pPr>
            <w:r>
              <w:rPr>
                <w:rFonts w:hint="eastAsia" w:ascii="仿宋" w:hAnsi="仿宋" w:eastAsia="仿宋" w:cs="仿宋"/>
                <w:b/>
                <w:bCs/>
                <w:i w:val="0"/>
                <w:iCs w:val="0"/>
                <w:caps w:val="0"/>
                <w:color w:val="auto"/>
                <w:spacing w:val="0"/>
                <w:kern w:val="0"/>
                <w:sz w:val="24"/>
                <w:szCs w:val="24"/>
                <w:u w:val="none"/>
                <w:lang w:val="en-US" w:eastAsia="zh-CN" w:bidi="ar"/>
              </w:rPr>
              <w:t>依据</w:t>
            </w:r>
          </w:p>
        </w:tc>
        <w:tc>
          <w:tcPr>
            <w:tcW w:w="1245" w:type="dxa"/>
            <w:tcBorders>
              <w:top w:val="nil"/>
              <w:left w:val="nil"/>
              <w:bottom w:val="single" w:color="auto" w:sz="4"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auto"/>
                <w:spacing w:val="0"/>
                <w:sz w:val="24"/>
                <w:szCs w:val="24"/>
                <w:u w:val="none"/>
              </w:rPr>
            </w:pPr>
            <w:r>
              <w:rPr>
                <w:rFonts w:hint="eastAsia" w:ascii="仿宋" w:hAnsi="仿宋" w:eastAsia="仿宋" w:cs="仿宋"/>
                <w:b/>
                <w:bCs/>
                <w:i w:val="0"/>
                <w:iCs w:val="0"/>
                <w:caps w:val="0"/>
                <w:color w:val="auto"/>
                <w:spacing w:val="0"/>
                <w:kern w:val="0"/>
                <w:sz w:val="24"/>
                <w:szCs w:val="24"/>
                <w:u w:val="none"/>
                <w:lang w:val="en-US" w:eastAsia="zh-CN" w:bidi="ar"/>
              </w:rPr>
              <w:t>提交部门</w:t>
            </w:r>
          </w:p>
        </w:tc>
        <w:tc>
          <w:tcPr>
            <w:tcW w:w="2520" w:type="dxa"/>
            <w:tcBorders>
              <w:top w:val="nil"/>
              <w:left w:val="nil"/>
              <w:bottom w:val="single" w:color="auto" w:sz="4"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auto"/>
                <w:spacing w:val="0"/>
                <w:sz w:val="24"/>
                <w:szCs w:val="24"/>
                <w:u w:val="none"/>
              </w:rPr>
            </w:pPr>
            <w:r>
              <w:rPr>
                <w:rFonts w:hint="eastAsia" w:ascii="仿宋" w:hAnsi="仿宋" w:eastAsia="仿宋" w:cs="仿宋"/>
                <w:b/>
                <w:bCs/>
                <w:i w:val="0"/>
                <w:iCs w:val="0"/>
                <w:caps w:val="0"/>
                <w:color w:val="auto"/>
                <w:spacing w:val="0"/>
                <w:kern w:val="0"/>
                <w:sz w:val="24"/>
                <w:szCs w:val="24"/>
                <w:u w:val="none"/>
                <w:lang w:val="en-US" w:eastAsia="zh-CN" w:bidi="ar"/>
              </w:rPr>
              <w:t>应提交的审核材料</w:t>
            </w:r>
          </w:p>
        </w:tc>
        <w:tc>
          <w:tcPr>
            <w:tcW w:w="2430" w:type="dxa"/>
            <w:tcBorders>
              <w:top w:val="nil"/>
              <w:left w:val="nil"/>
              <w:bottom w:val="single" w:color="auto" w:sz="4"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auto"/>
                <w:spacing w:val="0"/>
                <w:sz w:val="24"/>
                <w:szCs w:val="24"/>
                <w:u w:val="none"/>
              </w:rPr>
            </w:pPr>
            <w:r>
              <w:rPr>
                <w:rFonts w:hint="eastAsia" w:ascii="仿宋" w:hAnsi="仿宋" w:eastAsia="仿宋" w:cs="仿宋"/>
                <w:b/>
                <w:bCs/>
                <w:i w:val="0"/>
                <w:iCs w:val="0"/>
                <w:caps w:val="0"/>
                <w:color w:val="auto"/>
                <w:spacing w:val="0"/>
                <w:kern w:val="0"/>
                <w:sz w:val="24"/>
                <w:szCs w:val="24"/>
                <w:u w:val="none"/>
                <w:lang w:val="en-US" w:eastAsia="zh-CN" w:bidi="ar"/>
              </w:rPr>
              <w:t>审核内容</w:t>
            </w:r>
          </w:p>
        </w:tc>
        <w:tc>
          <w:tcPr>
            <w:tcW w:w="1290" w:type="dxa"/>
            <w:tcBorders>
              <w:top w:val="nil"/>
              <w:left w:val="nil"/>
              <w:bottom w:val="single" w:color="auto" w:sz="4"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auto"/>
                <w:spacing w:val="0"/>
                <w:sz w:val="24"/>
                <w:szCs w:val="24"/>
                <w:u w:val="none"/>
              </w:rPr>
            </w:pPr>
            <w:r>
              <w:rPr>
                <w:rFonts w:hint="eastAsia" w:ascii="仿宋" w:hAnsi="仿宋" w:eastAsia="仿宋" w:cs="仿宋"/>
                <w:b/>
                <w:bCs/>
                <w:i w:val="0"/>
                <w:iCs w:val="0"/>
                <w:caps w:val="0"/>
                <w:color w:val="auto"/>
                <w:spacing w:val="0"/>
                <w:kern w:val="0"/>
                <w:sz w:val="24"/>
                <w:szCs w:val="24"/>
                <w:u w:val="none"/>
                <w:lang w:val="en-US" w:eastAsia="zh-CN" w:bidi="ar"/>
              </w:rPr>
              <w:t>审核时限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77" w:hRule="atLeast"/>
        </w:trPr>
        <w:tc>
          <w:tcPr>
            <w:tcW w:w="560" w:type="dxa"/>
            <w:vMerge w:val="restart"/>
            <w:tcBorders>
              <w:top w:val="nil"/>
              <w:left w:val="single" w:color="auto" w:sz="8" w:space="0"/>
              <w:bottom w:val="single" w:color="000000" w:sz="8"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1</w:t>
            </w:r>
          </w:p>
        </w:tc>
        <w:tc>
          <w:tcPr>
            <w:tcW w:w="1027"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行政处罚</w:t>
            </w:r>
          </w:p>
        </w:tc>
        <w:tc>
          <w:tcPr>
            <w:tcW w:w="26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涉及重大公共利益；直接关系当事人或者第三人重大权益，经过听证程序的；案件情况疑难复杂、涉及多个法律关系的。</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kern w:val="0"/>
                <w:sz w:val="24"/>
                <w:szCs w:val="24"/>
                <w:u w:val="none"/>
                <w:lang w:val="en-US" w:eastAsia="zh-CN" w:bidi="ar"/>
              </w:rPr>
            </w:pPr>
            <w:r>
              <w:rPr>
                <w:rFonts w:hint="eastAsia" w:ascii="仿宋" w:hAnsi="仿宋" w:eastAsia="仿宋" w:cs="仿宋"/>
                <w:i w:val="0"/>
                <w:iCs w:val="0"/>
                <w:caps w:val="0"/>
                <w:color w:val="auto"/>
                <w:spacing w:val="0"/>
                <w:kern w:val="0"/>
                <w:sz w:val="24"/>
                <w:szCs w:val="24"/>
                <w:u w:val="none"/>
                <w:lang w:val="en-US" w:eastAsia="zh-CN" w:bidi="ar"/>
              </w:rPr>
              <w:t>《中华人民共和国行政处罚法》第五十八条，《自然资源行政处罚办法》</w:t>
            </w:r>
          </w:p>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《中华人民共和国行政复议法》第三十二条，《中华人民共和国行政诉讼法》第九十四条</w:t>
            </w:r>
          </w:p>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《湖南省自然资源厅重大行政执法决定法制审核工作规则》第三条</w:t>
            </w:r>
          </w:p>
        </w:tc>
        <w:tc>
          <w:tcPr>
            <w:tcW w:w="1245"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执法监察大队</w:t>
            </w:r>
          </w:p>
        </w:tc>
        <w:tc>
          <w:tcPr>
            <w:tcW w:w="2520"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根据具体案件审查下列相关材料：(一)立案或者程序启动审批表、受理凭证等;</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　(二)进行审查、核查或者调查取证所采取的措施情况及相关行政执法文书，告知当事人、利害关系人进行陈述、申辩等权利的行政执法文书;</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　(三)收集调取的书证、物证、视听资料、当事人陈述、证人证言、现场笔录、勘验笔录等证据材料;</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　(四)经过听证、专家论证或者评审、评估的，需提供听证、论证或者评审、评估材料;</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　(五)拟作出的行政执法决定书;</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　(六)其他相关材料。</w:t>
            </w:r>
          </w:p>
        </w:tc>
        <w:tc>
          <w:tcPr>
            <w:tcW w:w="2430"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(一)行政执法主体是否合法、是否超越法定权限，行政执法人员是否具备执法资格;</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(二)行政执法程序是否合法;</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(三)事实是否清楚，证据是否合法、充分;</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(四)适用法律、法规、规章等依据是否准确;</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(五)是否说明理由或者说明理由是否充分;</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(六)行政执法文书是否完备、规范;</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(七)违法行为是否涉嫌犯罪、需要移送司法机关;</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(八)与重大行政执法决定合法性、适当性相关的其他内容。</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666666"/>
                <w:spacing w:val="0"/>
                <w:sz w:val="24"/>
                <w:szCs w:val="24"/>
                <w:u w:val="none"/>
              </w:rPr>
            </w:pPr>
            <w:r>
              <w:rPr>
                <w:rFonts w:hint="eastAsia" w:ascii="仿宋" w:hAnsi="仿宋" w:eastAsia="仿宋" w:cs="仿宋"/>
                <w:i w:val="0"/>
                <w:iCs w:val="0"/>
                <w:caps w:val="0"/>
                <w:color w:val="666666"/>
                <w:spacing w:val="0"/>
                <w:kern w:val="0"/>
                <w:sz w:val="24"/>
                <w:szCs w:val="24"/>
                <w:u w:val="none"/>
                <w:lang w:val="en-US" w:eastAsia="zh-CN" w:bidi="ar"/>
              </w:rPr>
              <w:t> </w:t>
            </w:r>
            <w:r>
              <w:rPr>
                <w:rFonts w:hint="eastAsia" w:ascii="仿宋" w:hAnsi="仿宋" w:eastAsia="仿宋" w:cs="仿宋"/>
                <w:i w:val="0"/>
                <w:iCs w:val="0"/>
                <w:caps w:val="0"/>
                <w:color w:val="auto"/>
                <w:spacing w:val="0"/>
                <w:kern w:val="0"/>
                <w:sz w:val="24"/>
                <w:szCs w:val="24"/>
                <w:u w:val="none"/>
                <w:lang w:val="en-US" w:eastAsia="zh-CN" w:bidi="ar"/>
              </w:rPr>
              <w:t>局法制审核机构应当在收到送审材料后的七个工作日内完成重大行政执法决定法制审核。案情复杂的，经行政执法机关负责人批准可以延长三个工作日。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25" w:hRule="atLeast"/>
        </w:trPr>
        <w:tc>
          <w:tcPr>
            <w:tcW w:w="560" w:type="dxa"/>
            <w:vMerge w:val="continue"/>
            <w:tcBorders>
              <w:top w:val="nil"/>
              <w:left w:val="single" w:color="auto" w:sz="8" w:space="0"/>
              <w:bottom w:val="single" w:color="000000" w:sz="8" w:space="0"/>
              <w:right w:val="single" w:color="auto"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iCs w:val="0"/>
                <w:caps w:val="0"/>
                <w:color w:val="auto"/>
                <w:spacing w:val="0"/>
                <w:sz w:val="24"/>
                <w:szCs w:val="24"/>
                <w:u w:val="none"/>
              </w:rPr>
            </w:pPr>
          </w:p>
        </w:tc>
        <w:tc>
          <w:tcPr>
            <w:tcW w:w="1027"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auto"/>
                <w:spacing w:val="0"/>
                <w:sz w:val="24"/>
                <w:szCs w:val="24"/>
                <w:u w:val="none"/>
              </w:rPr>
            </w:pPr>
          </w:p>
        </w:tc>
        <w:tc>
          <w:tcPr>
            <w:tcW w:w="2655" w:type="dxa"/>
            <w:tcBorders>
              <w:top w:val="single" w:color="auto" w:sz="4" w:space="0"/>
              <w:left w:val="single" w:color="auto" w:sz="4"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经过行政复议或者行政诉讼，需要重新作出行政处罚的。</w:t>
            </w:r>
          </w:p>
        </w:tc>
        <w:tc>
          <w:tcPr>
            <w:tcW w:w="2280" w:type="dxa"/>
            <w:vMerge w:val="continue"/>
            <w:tcBorders>
              <w:top w:val="single" w:color="auto" w:sz="4" w:space="0"/>
              <w:left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p>
        </w:tc>
        <w:tc>
          <w:tcPr>
            <w:tcW w:w="1245" w:type="dxa"/>
            <w:vMerge w:val="continue"/>
            <w:tcBorders>
              <w:top w:val="single" w:color="auto" w:sz="4" w:space="0"/>
              <w:left w:val="single" w:color="auto" w:sz="8" w:space="0"/>
              <w:bottom w:val="single" w:color="000000"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2520" w:type="dxa"/>
            <w:vMerge w:val="continue"/>
            <w:tcBorders>
              <w:top w:val="single" w:color="auto" w:sz="4" w:space="0"/>
              <w:left w:val="single" w:color="auto" w:sz="8" w:space="0"/>
              <w:bottom w:val="single" w:color="000000"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2430" w:type="dxa"/>
            <w:vMerge w:val="continue"/>
            <w:tcBorders>
              <w:top w:val="single" w:color="auto" w:sz="4" w:space="0"/>
              <w:left w:val="single" w:color="auto" w:sz="8"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1290" w:type="dxa"/>
            <w:vMerge w:val="continue"/>
            <w:tcBorders>
              <w:top w:val="single" w:color="auto" w:sz="4"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666666"/>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560" w:type="dxa"/>
            <w:vMerge w:val="continue"/>
            <w:tcBorders>
              <w:top w:val="nil"/>
              <w:left w:val="single" w:color="auto" w:sz="8" w:space="0"/>
              <w:bottom w:val="single" w:color="000000" w:sz="8" w:space="0"/>
              <w:right w:val="single" w:color="auto" w:sz="4" w:space="0"/>
            </w:tcBorders>
            <w:shd w:val="clear" w:color="auto" w:fill="FFFFFF"/>
            <w:noWrap/>
            <w:tcMar>
              <w:top w:w="15" w:type="dxa"/>
              <w:left w:w="15" w:type="dxa"/>
              <w:right w:w="15" w:type="dxa"/>
            </w:tcMar>
            <w:vAlign w:val="center"/>
          </w:tcPr>
          <w:p>
            <w:pPr>
              <w:jc w:val="center"/>
              <w:rPr>
                <w:rFonts w:hint="eastAsia" w:ascii="仿宋" w:hAnsi="仿宋" w:eastAsia="仿宋" w:cs="仿宋"/>
                <w:i w:val="0"/>
                <w:iCs w:val="0"/>
                <w:caps w:val="0"/>
                <w:color w:val="auto"/>
                <w:spacing w:val="0"/>
                <w:sz w:val="24"/>
                <w:szCs w:val="24"/>
                <w:u w:val="none"/>
              </w:rPr>
            </w:pPr>
          </w:p>
        </w:tc>
        <w:tc>
          <w:tcPr>
            <w:tcW w:w="1027" w:type="dxa"/>
            <w:vMerge w:val="continue"/>
            <w:tcBorders>
              <w:top w:val="nil"/>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auto"/>
                <w:spacing w:val="0"/>
                <w:sz w:val="24"/>
                <w:szCs w:val="24"/>
                <w:u w:val="none"/>
              </w:rPr>
            </w:pPr>
          </w:p>
        </w:tc>
        <w:tc>
          <w:tcPr>
            <w:tcW w:w="2655" w:type="dxa"/>
            <w:tcBorders>
              <w:top w:val="nil"/>
              <w:left w:val="single" w:color="auto" w:sz="4"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拟作出撤销原行政行为的决定。</w:t>
            </w:r>
          </w:p>
        </w:tc>
        <w:tc>
          <w:tcPr>
            <w:tcW w:w="2280" w:type="dxa"/>
            <w:vMerge w:val="continue"/>
            <w:tcBorders>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p>
        </w:tc>
        <w:tc>
          <w:tcPr>
            <w:tcW w:w="1245" w:type="dxa"/>
            <w:vMerge w:val="continue"/>
            <w:tcBorders>
              <w:top w:val="nil"/>
              <w:left w:val="single" w:color="auto" w:sz="8" w:space="0"/>
              <w:bottom w:val="single" w:color="000000"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2520" w:type="dxa"/>
            <w:vMerge w:val="continue"/>
            <w:tcBorders>
              <w:top w:val="nil"/>
              <w:left w:val="single" w:color="auto" w:sz="8" w:space="0"/>
              <w:bottom w:val="single" w:color="000000"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2430" w:type="dxa"/>
            <w:vMerge w:val="continue"/>
            <w:tcBorders>
              <w:top w:val="nil"/>
              <w:left w:val="single" w:color="auto" w:sz="8"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1290" w:type="dxa"/>
            <w:vMerge w:val="continue"/>
            <w:tcBorders>
              <w:top w:val="nil"/>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666666"/>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25" w:hRule="atLeast"/>
        </w:trPr>
        <w:tc>
          <w:tcPr>
            <w:tcW w:w="560" w:type="dxa"/>
            <w:vMerge w:val="restart"/>
            <w:tcBorders>
              <w:top w:val="nil"/>
              <w:left w:val="single" w:color="auto" w:sz="8" w:space="0"/>
              <w:bottom w:val="single" w:color="000000"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2</w:t>
            </w:r>
          </w:p>
        </w:tc>
        <w:tc>
          <w:tcPr>
            <w:tcW w:w="1027" w:type="dxa"/>
            <w:vMerge w:val="restart"/>
            <w:tcBorders>
              <w:top w:val="nil"/>
              <w:left w:val="single" w:color="auto" w:sz="8"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行政许可</w:t>
            </w:r>
          </w:p>
        </w:tc>
        <w:tc>
          <w:tcPr>
            <w:tcW w:w="2655" w:type="dxa"/>
            <w:tcBorders>
              <w:top w:val="nil"/>
              <w:left w:val="single" w:color="auto" w:sz="4"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直接关系行政相对人或他人重大权益的（含作出不予行政许可决定、撤销和撤回行政许可决定）。</w:t>
            </w:r>
          </w:p>
        </w:tc>
        <w:tc>
          <w:tcPr>
            <w:tcW w:w="22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《中华人民共和国行政许可法》第三十六条、第三十八条、第四十七条、第六十九条</w:t>
            </w:r>
          </w:p>
        </w:tc>
        <w:tc>
          <w:tcPr>
            <w:tcW w:w="1245" w:type="dxa"/>
            <w:vMerge w:val="restart"/>
            <w:tcBorders>
              <w:top w:val="nil"/>
              <w:left w:val="single" w:color="auto" w:sz="8" w:space="0"/>
              <w:bottom w:val="single" w:color="000000"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局相关业务股室</w:t>
            </w:r>
          </w:p>
        </w:tc>
        <w:tc>
          <w:tcPr>
            <w:tcW w:w="2520" w:type="dxa"/>
            <w:vMerge w:val="continue"/>
            <w:tcBorders>
              <w:top w:val="nil"/>
              <w:left w:val="single" w:color="auto" w:sz="8" w:space="0"/>
              <w:bottom w:val="single" w:color="000000"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2430" w:type="dxa"/>
            <w:vMerge w:val="continue"/>
            <w:tcBorders>
              <w:top w:val="nil"/>
              <w:left w:val="single" w:color="auto" w:sz="8"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1290" w:type="dxa"/>
            <w:vMerge w:val="continue"/>
            <w:tcBorders>
              <w:top w:val="nil"/>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666666"/>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560" w:type="dxa"/>
            <w:vMerge w:val="continue"/>
            <w:tcBorders>
              <w:top w:val="nil"/>
              <w:left w:val="single" w:color="auto" w:sz="8" w:space="0"/>
              <w:bottom w:val="single" w:color="000000" w:sz="8" w:space="0"/>
              <w:right w:val="single" w:color="auto" w:sz="8" w:space="0"/>
            </w:tcBorders>
            <w:shd w:val="clear" w:color="auto" w:fill="FFFFFF"/>
            <w:noWrap/>
            <w:tcMar>
              <w:top w:w="15" w:type="dxa"/>
              <w:left w:w="15" w:type="dxa"/>
              <w:right w:w="15" w:type="dxa"/>
            </w:tcMar>
            <w:vAlign w:val="center"/>
          </w:tcPr>
          <w:p>
            <w:pPr>
              <w:jc w:val="center"/>
              <w:rPr>
                <w:rFonts w:hint="eastAsia" w:ascii="仿宋" w:hAnsi="仿宋" w:eastAsia="仿宋" w:cs="仿宋"/>
                <w:i w:val="0"/>
                <w:iCs w:val="0"/>
                <w:caps w:val="0"/>
                <w:color w:val="auto"/>
                <w:spacing w:val="0"/>
                <w:sz w:val="24"/>
                <w:szCs w:val="24"/>
                <w:u w:val="none"/>
              </w:rPr>
            </w:pPr>
          </w:p>
        </w:tc>
        <w:tc>
          <w:tcPr>
            <w:tcW w:w="1027" w:type="dxa"/>
            <w:vMerge w:val="continue"/>
            <w:tcBorders>
              <w:top w:val="nil"/>
              <w:left w:val="single" w:color="auto" w:sz="8" w:space="0"/>
              <w:bottom w:val="single" w:color="000000" w:sz="8" w:space="0"/>
              <w:right w:val="single" w:color="auto" w:sz="4"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auto"/>
                <w:spacing w:val="0"/>
                <w:sz w:val="24"/>
                <w:szCs w:val="24"/>
                <w:u w:val="none"/>
              </w:rPr>
            </w:pPr>
          </w:p>
        </w:tc>
        <w:tc>
          <w:tcPr>
            <w:tcW w:w="2655" w:type="dxa"/>
            <w:tcBorders>
              <w:top w:val="nil"/>
              <w:left w:val="single" w:color="auto" w:sz="4" w:space="0"/>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需经听证程序作出行政许可决定的。</w:t>
            </w:r>
          </w:p>
        </w:tc>
        <w:tc>
          <w:tcPr>
            <w:tcW w:w="2280" w:type="dxa"/>
            <w:tcBorders>
              <w:top w:val="nil"/>
              <w:left w:val="nil"/>
              <w:bottom w:val="single" w:color="auto" w:sz="4"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《中华人民共和国行政许可法》第四十六条、第四十七条</w:t>
            </w:r>
          </w:p>
        </w:tc>
        <w:tc>
          <w:tcPr>
            <w:tcW w:w="1245" w:type="dxa"/>
            <w:vMerge w:val="continue"/>
            <w:tcBorders>
              <w:top w:val="nil"/>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2520" w:type="dxa"/>
            <w:vMerge w:val="continue"/>
            <w:tcBorders>
              <w:top w:val="nil"/>
              <w:left w:val="single" w:color="auto" w:sz="8" w:space="0"/>
              <w:bottom w:val="single" w:color="auto" w:sz="4"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2430" w:type="dxa"/>
            <w:vMerge w:val="continue"/>
            <w:tcBorders>
              <w:top w:val="nil"/>
              <w:left w:val="single" w:color="auto" w:sz="8"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1290" w:type="dxa"/>
            <w:vMerge w:val="continue"/>
            <w:tcBorders>
              <w:top w:val="nil"/>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666666"/>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55" w:hRule="atLeast"/>
        </w:trPr>
        <w:tc>
          <w:tcPr>
            <w:tcW w:w="560" w:type="dxa"/>
            <w:tcBorders>
              <w:top w:val="nil"/>
              <w:left w:val="single" w:color="auto" w:sz="8" w:space="0"/>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3</w:t>
            </w:r>
          </w:p>
        </w:tc>
        <w:tc>
          <w:tcPr>
            <w:tcW w:w="1027" w:type="dxa"/>
            <w:tcBorders>
              <w:top w:val="nil"/>
              <w:left w:val="nil"/>
              <w:bottom w:val="single" w:color="auto" w:sz="8" w:space="0"/>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行政确认</w:t>
            </w:r>
          </w:p>
        </w:tc>
        <w:tc>
          <w:tcPr>
            <w:tcW w:w="2655" w:type="dxa"/>
            <w:tcBorders>
              <w:top w:val="single" w:color="auto" w:sz="4" w:space="0"/>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对行政相对人的生产、经营、生活具有重大影响或者直接关系第三人重大权益的行政确认决定。</w:t>
            </w:r>
          </w:p>
        </w:tc>
        <w:tc>
          <w:tcPr>
            <w:tcW w:w="2280" w:type="dxa"/>
            <w:tcBorders>
              <w:top w:val="single" w:color="auto" w:sz="4" w:space="0"/>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《中华人民共和国民法典》第二百一十条，《不动产登记暂行条例》第三条、第四条等</w:t>
            </w:r>
          </w:p>
        </w:tc>
        <w:tc>
          <w:tcPr>
            <w:tcW w:w="1245" w:type="dxa"/>
            <w:tcBorders>
              <w:top w:val="single" w:color="auto" w:sz="4" w:space="0"/>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局相关业务股室</w:t>
            </w:r>
          </w:p>
        </w:tc>
        <w:tc>
          <w:tcPr>
            <w:tcW w:w="2520" w:type="dxa"/>
            <w:vMerge w:val="continue"/>
            <w:tcBorders>
              <w:top w:val="single" w:color="auto" w:sz="4" w:space="0"/>
              <w:left w:val="single" w:color="auto" w:sz="8" w:space="0"/>
              <w:bottom w:val="single" w:color="000000"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2430" w:type="dxa"/>
            <w:vMerge w:val="continue"/>
            <w:tcBorders>
              <w:top w:val="single" w:color="auto" w:sz="4" w:space="0"/>
              <w:left w:val="single" w:color="auto" w:sz="8"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1290" w:type="dxa"/>
            <w:vMerge w:val="continue"/>
            <w:tcBorders>
              <w:top w:val="nil"/>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666666"/>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85" w:hRule="atLeast"/>
        </w:trPr>
        <w:tc>
          <w:tcPr>
            <w:tcW w:w="560"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4</w:t>
            </w:r>
          </w:p>
        </w:tc>
        <w:tc>
          <w:tcPr>
            <w:tcW w:w="1027"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其他行政执法行为</w:t>
            </w:r>
          </w:p>
        </w:tc>
        <w:tc>
          <w:tcPr>
            <w:tcW w:w="2655"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1、依据法律、法规、规章规定应当进行法制审核的行政执法行为；</w:t>
            </w:r>
            <w:r>
              <w:rPr>
                <w:rFonts w:hint="eastAsia" w:ascii="仿宋" w:hAnsi="仿宋" w:eastAsia="仿宋" w:cs="仿宋"/>
                <w:i w:val="0"/>
                <w:iCs w:val="0"/>
                <w:caps w:val="0"/>
                <w:color w:val="auto"/>
                <w:spacing w:val="0"/>
                <w:kern w:val="0"/>
                <w:sz w:val="24"/>
                <w:szCs w:val="24"/>
                <w:u w:val="none"/>
                <w:lang w:val="en-US" w:eastAsia="zh-CN" w:bidi="ar"/>
              </w:rPr>
              <w:br w:type="textWrapping"/>
            </w:r>
            <w:r>
              <w:rPr>
                <w:rFonts w:hint="eastAsia" w:ascii="仿宋" w:hAnsi="仿宋" w:eastAsia="仿宋" w:cs="仿宋"/>
                <w:i w:val="0"/>
                <w:iCs w:val="0"/>
                <w:caps w:val="0"/>
                <w:color w:val="auto"/>
                <w:spacing w:val="0"/>
                <w:kern w:val="0"/>
                <w:sz w:val="24"/>
                <w:szCs w:val="24"/>
                <w:u w:val="none"/>
                <w:lang w:val="en-US" w:eastAsia="zh-CN" w:bidi="ar"/>
              </w:rPr>
              <w:t>2、本机关认为需要审核的行政执法行为。</w:t>
            </w:r>
          </w:p>
        </w:tc>
        <w:tc>
          <w:tcPr>
            <w:tcW w:w="2280"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《中华人民共和国行政处罚法》第五十八条，《湖南省自然资源厅重大行政执法决定法制审核工作规则》第三条等</w:t>
            </w:r>
          </w:p>
        </w:tc>
        <w:tc>
          <w:tcPr>
            <w:tcW w:w="1245" w:type="dxa"/>
            <w:tcBorders>
              <w:top w:val="nil"/>
              <w:left w:val="nil"/>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kern w:val="0"/>
                <w:sz w:val="24"/>
                <w:szCs w:val="24"/>
                <w:u w:val="none"/>
                <w:lang w:val="en-US" w:eastAsia="zh-CN" w:bidi="ar"/>
              </w:rPr>
              <w:t>局相关业务股室</w:t>
            </w:r>
          </w:p>
        </w:tc>
        <w:tc>
          <w:tcPr>
            <w:tcW w:w="2520" w:type="dxa"/>
            <w:vMerge w:val="continue"/>
            <w:tcBorders>
              <w:top w:val="nil"/>
              <w:left w:val="single" w:color="auto" w:sz="8" w:space="0"/>
              <w:bottom w:val="single" w:color="000000"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2430" w:type="dxa"/>
            <w:vMerge w:val="continue"/>
            <w:tcBorders>
              <w:top w:val="nil"/>
              <w:left w:val="single" w:color="auto" w:sz="8"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4"/>
                <w:szCs w:val="24"/>
                <w:u w:val="none"/>
              </w:rPr>
            </w:pPr>
          </w:p>
        </w:tc>
        <w:tc>
          <w:tcPr>
            <w:tcW w:w="1290" w:type="dxa"/>
            <w:vMerge w:val="continue"/>
            <w:tcBorders>
              <w:top w:val="nil"/>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666666"/>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80" w:hRule="atLeast"/>
        </w:trPr>
        <w:tc>
          <w:tcPr>
            <w:tcW w:w="14007" w:type="dxa"/>
            <w:gridSpan w:val="8"/>
            <w:tcBorders>
              <w:top w:val="single" w:color="auto" w:sz="8" w:space="0"/>
              <w:left w:val="single" w:color="auto" w:sz="8" w:space="0"/>
              <w:bottom w:val="single" w:color="auto"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lang w:val="en-US" w:eastAsia="zh-CN" w:bidi="ar"/>
              </w:rPr>
              <w:t>备注：重大行政执法决定：是指本局作出的重大行政处罚、行政许可、行政确认等决定。重大行政执法决定法制审核：是指本局执法机构在形成重大行政执法决定的处理建议后，提请局党组会议或局领导签发决定前，应由局法制审核机构对拟作出重大行政执法决定的合法性、适当性进行审核。重大执法决定必须经局法制审核机构审核后方可作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ZWU5MGE3NGJmYzY3MjEwNGQxOWUwZjdjMzM4NTcifQ=="/>
  </w:docVars>
  <w:rsids>
    <w:rsidRoot w:val="00000000"/>
    <w:rsid w:val="00000E52"/>
    <w:rsid w:val="3DF86C0B"/>
    <w:rsid w:val="69ED1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1188</Words>
  <Characters>1188</Characters>
  <Lines>0</Lines>
  <Paragraphs>0</Paragraphs>
  <TotalTime>12</TotalTime>
  <ScaleCrop>false</ScaleCrop>
  <LinksUpToDate>false</LinksUpToDate>
  <CharactersWithSpaces>1193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2022-11-02T02:29:00Z</dcterms:created>
  <dc:creator>admin</dc:creator>
  <cp:lastModifiedBy>小心898</cp:lastModifiedBy>
  <cp:lastPrinted>2022-11-02T02:44:00Z</cp:lastPrinted>
  <dcterms:modified xsi:type="dcterms:W3CDTF">2022-11-08T06:56:16Z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F707494844094F15A21310CD16C7D5E7</vt:lpwstr>
  </property>
</Properties>
</file>