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kern w:val="0"/>
          <w:sz w:val="44"/>
          <w:szCs w:val="44"/>
        </w:rPr>
      </w:pPr>
    </w:p>
    <w:p>
      <w:pPr>
        <w:widowControl/>
        <w:jc w:val="center"/>
        <w:rPr>
          <w:rFonts w:hint="eastAsia" w:ascii="宋体" w:hAnsi="宋体" w:cs="宋体"/>
          <w:b/>
          <w:kern w:val="0"/>
          <w:sz w:val="56"/>
          <w:szCs w:val="56"/>
          <w:lang w:eastAsia="zh-CN"/>
        </w:rPr>
      </w:pPr>
    </w:p>
    <w:p>
      <w:pPr>
        <w:widowControl/>
        <w:jc w:val="center"/>
        <w:rPr>
          <w:rFonts w:hint="eastAsia" w:ascii="宋体" w:hAnsi="宋体" w:cs="宋体"/>
          <w:b/>
          <w:kern w:val="0"/>
          <w:sz w:val="56"/>
          <w:szCs w:val="56"/>
        </w:rPr>
      </w:pPr>
      <w:r>
        <w:rPr>
          <w:rFonts w:hint="eastAsia" w:ascii="宋体" w:hAnsi="宋体" w:cs="宋体"/>
          <w:b/>
          <w:kern w:val="0"/>
          <w:sz w:val="56"/>
          <w:szCs w:val="56"/>
          <w:lang w:eastAsia="zh-CN"/>
        </w:rPr>
        <w:t>益阳市</w:t>
      </w:r>
      <w:r>
        <w:rPr>
          <w:rFonts w:hint="eastAsia" w:ascii="宋体" w:hAnsi="宋体" w:cs="宋体"/>
          <w:b/>
          <w:kern w:val="0"/>
          <w:sz w:val="56"/>
          <w:szCs w:val="56"/>
        </w:rPr>
        <w:t>资阳区</w:t>
      </w:r>
    </w:p>
    <w:p>
      <w:pPr>
        <w:widowControl/>
        <w:jc w:val="center"/>
        <w:rPr>
          <w:rFonts w:hint="eastAsia" w:ascii="宋体" w:hAnsi="宋体" w:eastAsia="宋体" w:cs="宋体"/>
          <w:b/>
          <w:kern w:val="0"/>
          <w:sz w:val="52"/>
          <w:szCs w:val="52"/>
          <w:lang w:eastAsia="zh-CN"/>
        </w:rPr>
      </w:pPr>
      <w:r>
        <w:rPr>
          <w:rFonts w:hint="eastAsia" w:ascii="宋体" w:hAnsi="宋体" w:cs="宋体"/>
          <w:b/>
          <w:kern w:val="0"/>
          <w:sz w:val="52"/>
          <w:szCs w:val="52"/>
        </w:rPr>
        <w:t>林业发展“十</w:t>
      </w:r>
      <w:r>
        <w:rPr>
          <w:rFonts w:hint="eastAsia" w:ascii="宋体" w:hAnsi="宋体" w:cs="宋体"/>
          <w:b/>
          <w:kern w:val="0"/>
          <w:sz w:val="52"/>
          <w:szCs w:val="52"/>
          <w:lang w:eastAsia="zh-CN"/>
        </w:rPr>
        <w:t>四</w:t>
      </w:r>
      <w:r>
        <w:rPr>
          <w:rFonts w:hint="eastAsia" w:ascii="宋体" w:hAnsi="宋体" w:cs="宋体"/>
          <w:b/>
          <w:kern w:val="0"/>
          <w:sz w:val="52"/>
          <w:szCs w:val="52"/>
        </w:rPr>
        <w:t>五”规划</w:t>
      </w:r>
      <w:r>
        <w:rPr>
          <w:rFonts w:hint="eastAsia" w:ascii="宋体" w:hAnsi="宋体" w:cs="宋体"/>
          <w:b/>
          <w:kern w:val="0"/>
          <w:sz w:val="52"/>
          <w:szCs w:val="52"/>
          <w:lang w:eastAsia="zh-CN"/>
        </w:rPr>
        <w:t>征求意见稿</w:t>
      </w: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r>
        <w:rPr>
          <w:rFonts w:hint="eastAsia" w:ascii="宋体" w:hAnsi="宋体" w:cs="Times New Roman"/>
          <w:kern w:val="2"/>
          <w:sz w:val="21"/>
          <w:szCs w:val="24"/>
          <w:lang w:val="en-US" w:eastAsia="zh-CN" w:bidi="ar-SA"/>
        </w:rPr>
        <w:t xml:space="preserve">              </w:t>
      </w: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bookmarkStart w:id="33" w:name="_GoBack"/>
      <w:bookmarkEnd w:id="33"/>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宋体" w:hAnsi="宋体" w:cs="Times New Roman"/>
          <w:kern w:val="2"/>
          <w:sz w:val="32"/>
          <w:szCs w:val="40"/>
          <w:lang w:val="en-US" w:eastAsia="zh-CN" w:bidi="ar-SA"/>
        </w:rPr>
      </w:pPr>
      <w:r>
        <w:rPr>
          <w:rFonts w:hint="eastAsia" w:ascii="宋体" w:hAnsi="宋体" w:cs="Times New Roman"/>
          <w:kern w:val="2"/>
          <w:sz w:val="32"/>
          <w:szCs w:val="40"/>
          <w:lang w:val="en-US" w:eastAsia="zh-CN" w:bidi="ar-SA"/>
        </w:rPr>
        <w:t>益阳市资阳区林业局</w:t>
      </w:r>
    </w:p>
    <w:p>
      <w:pPr>
        <w:keepNext w:val="0"/>
        <w:keepLines w:val="0"/>
        <w:pageBreakBefore w:val="0"/>
        <w:kinsoku/>
        <w:wordWrap/>
        <w:overflowPunct/>
        <w:topLinePunct w:val="0"/>
        <w:autoSpaceDE/>
        <w:autoSpaceDN/>
        <w:bidi w:val="0"/>
        <w:adjustRightInd/>
        <w:snapToGrid/>
        <w:spacing w:before="0" w:beforeLines="0" w:after="0" w:afterLines="0" w:line="480" w:lineRule="exact"/>
        <w:ind w:right="0" w:rightChars="0"/>
        <w:jc w:val="center"/>
        <w:textAlignment w:val="auto"/>
        <w:rPr>
          <w:rFonts w:hint="default" w:ascii="宋体" w:hAnsi="宋体" w:cs="Times New Roman"/>
          <w:kern w:val="2"/>
          <w:sz w:val="32"/>
          <w:szCs w:val="40"/>
          <w:lang w:val="en-US" w:eastAsia="zh-CN" w:bidi="ar-SA"/>
        </w:rPr>
      </w:pPr>
      <w:r>
        <w:rPr>
          <w:rFonts w:hint="eastAsia" w:ascii="宋体" w:hAnsi="宋体" w:cs="Times New Roman"/>
          <w:kern w:val="2"/>
          <w:sz w:val="32"/>
          <w:szCs w:val="40"/>
          <w:lang w:val="en-US" w:eastAsia="zh-CN" w:bidi="ar-SA"/>
        </w:rPr>
        <w:t>2020年12月</w:t>
      </w: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default" w:ascii="宋体" w:hAnsi="宋体" w:cs="Times New Roman"/>
          <w:kern w:val="2"/>
          <w:sz w:val="21"/>
          <w:szCs w:val="24"/>
          <w:lang w:val="en-US" w:eastAsia="zh-CN" w:bidi="ar-SA"/>
        </w:rPr>
      </w:pPr>
    </w:p>
    <w:sdt>
      <w:sdtPr>
        <w:rPr>
          <w:rFonts w:ascii="宋体" w:hAnsi="宋体" w:eastAsia="宋体" w:cs="Times New Roman"/>
          <w:kern w:val="2"/>
          <w:sz w:val="18"/>
          <w:szCs w:val="21"/>
          <w:lang w:val="en-US" w:eastAsia="zh-CN" w:bidi="ar-SA"/>
        </w:rPr>
        <w:id w:val="147480781"/>
        <w15:color w:val="DBDBDB"/>
        <w:docPartObj>
          <w:docPartGallery w:val="Table of Contents"/>
          <w:docPartUnique/>
        </w:docPartObj>
      </w:sdtPr>
      <w:sdtEndPr>
        <w:rPr>
          <w:rFonts w:hint="eastAsia" w:ascii="黑体" w:hAnsi="黑体" w:eastAsia="黑体" w:cs="黑体"/>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cs="宋体"/>
              <w:b/>
              <w:kern w:val="0"/>
              <w:sz w:val="48"/>
              <w:szCs w:val="48"/>
              <w:lang w:eastAsia="zh-CN"/>
            </w:rPr>
          </w:pPr>
          <w:r>
            <w:rPr>
              <w:rFonts w:hint="eastAsia" w:ascii="宋体" w:hAnsi="宋体" w:cs="宋体"/>
              <w:b/>
              <w:kern w:val="0"/>
              <w:sz w:val="48"/>
              <w:szCs w:val="48"/>
              <w:lang w:eastAsia="zh-CN"/>
            </w:rPr>
            <w:t>目</w:t>
          </w:r>
          <w:r>
            <w:rPr>
              <w:rFonts w:hint="eastAsia" w:ascii="宋体" w:hAnsi="宋体" w:cs="宋体"/>
              <w:b/>
              <w:kern w:val="0"/>
              <w:sz w:val="48"/>
              <w:szCs w:val="48"/>
              <w:lang w:val="en-US" w:eastAsia="zh-CN"/>
            </w:rPr>
            <w:t xml:space="preserve">  </w:t>
          </w:r>
          <w:r>
            <w:rPr>
              <w:rFonts w:hint="eastAsia" w:ascii="宋体" w:hAnsi="宋体" w:cs="宋体"/>
              <w:b/>
              <w:kern w:val="0"/>
              <w:sz w:val="48"/>
              <w:szCs w:val="48"/>
              <w:lang w:eastAsia="zh-CN"/>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黑体" w:hAnsi="黑体" w:eastAsia="黑体" w:cs="黑体"/>
              <w:b/>
              <w:kern w:val="0"/>
              <w:sz w:val="48"/>
              <w:szCs w:val="48"/>
              <w:lang w:val="en-US" w:eastAsia="zh-CN"/>
            </w:rPr>
          </w:pPr>
        </w:p>
        <w:p>
          <w:pPr>
            <w:pStyle w:val="8"/>
            <w:tabs>
              <w:tab w:val="right" w:leader="dot" w:pos="8306"/>
            </w:tabs>
          </w:pPr>
          <w:r>
            <w:rPr>
              <w:rFonts w:hint="eastAsia" w:ascii="黑体" w:hAnsi="黑体" w:eastAsia="黑体" w:cs="黑体"/>
              <w:sz w:val="96"/>
              <w:szCs w:val="96"/>
              <w:lang w:val="en-US" w:eastAsia="zh-CN"/>
            </w:rPr>
            <w:fldChar w:fldCharType="begin"/>
          </w:r>
          <w:r>
            <w:rPr>
              <w:rFonts w:hint="eastAsia" w:ascii="黑体" w:hAnsi="黑体" w:eastAsia="黑体" w:cs="黑体"/>
              <w:sz w:val="96"/>
              <w:szCs w:val="96"/>
              <w:lang w:val="en-US" w:eastAsia="zh-CN"/>
            </w:rPr>
            <w:instrText xml:space="preserve">TOC \o "1-3" \h \u </w:instrText>
          </w:r>
          <w:r>
            <w:rPr>
              <w:rFonts w:hint="eastAsia" w:ascii="黑体" w:hAnsi="黑体" w:eastAsia="黑体" w:cs="黑体"/>
              <w:sz w:val="96"/>
              <w:szCs w:val="96"/>
              <w:lang w:val="en-US" w:eastAsia="zh-CN"/>
            </w:rPr>
            <w:fldChar w:fldCharType="separate"/>
          </w: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_Toc2990 </w:instrText>
          </w:r>
          <w:r>
            <w:rPr>
              <w:rFonts w:hint="eastAsia" w:ascii="黑体" w:hAnsi="黑体" w:eastAsia="黑体" w:cs="黑体"/>
              <w:szCs w:val="96"/>
              <w:lang w:val="en-US" w:eastAsia="zh-CN"/>
            </w:rPr>
            <w:fldChar w:fldCharType="separate"/>
          </w:r>
          <w:r>
            <w:rPr>
              <w:rFonts w:hint="eastAsia"/>
              <w:lang w:val="en-US" w:eastAsia="zh-CN"/>
            </w:rPr>
            <w:t>1 “十三五”规划总结</w:t>
          </w:r>
          <w:r>
            <w:tab/>
          </w:r>
          <w:r>
            <w:fldChar w:fldCharType="begin"/>
          </w:r>
          <w:r>
            <w:instrText xml:space="preserve"> PAGEREF _Toc2990 \h </w:instrText>
          </w:r>
          <w:r>
            <w:fldChar w:fldCharType="separate"/>
          </w:r>
          <w:r>
            <w:t>1</w:t>
          </w:r>
          <w:r>
            <w:fldChar w:fldCharType="end"/>
          </w:r>
          <w:r>
            <w:rPr>
              <w:rFonts w:hint="eastAsia" w:ascii="黑体" w:hAnsi="黑体" w:eastAsia="黑体" w:cs="黑体"/>
              <w:szCs w:val="96"/>
              <w:lang w:val="en-US" w:eastAsia="zh-CN"/>
            </w:rPr>
            <w:fldChar w:fldCharType="end"/>
          </w:r>
        </w:p>
        <w:p>
          <w:pPr>
            <w:pStyle w:val="9"/>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_Toc15504 </w:instrText>
          </w:r>
          <w:r>
            <w:rPr>
              <w:rFonts w:hint="eastAsia" w:ascii="黑体" w:hAnsi="黑体" w:eastAsia="黑体" w:cs="黑体"/>
              <w:szCs w:val="96"/>
              <w:lang w:val="en-US" w:eastAsia="zh-CN"/>
            </w:rPr>
            <w:fldChar w:fldCharType="separate"/>
          </w:r>
          <w:r>
            <w:rPr>
              <w:rFonts w:hint="eastAsia"/>
              <w:szCs w:val="36"/>
              <w:lang w:val="en-US" w:eastAsia="zh-CN"/>
            </w:rPr>
            <w:t>1.1 工作成就</w:t>
          </w:r>
          <w:r>
            <w:tab/>
          </w:r>
          <w:r>
            <w:fldChar w:fldCharType="begin"/>
          </w:r>
          <w:r>
            <w:instrText xml:space="preserve"> PAGEREF _Toc15504 \h </w:instrText>
          </w:r>
          <w:r>
            <w:fldChar w:fldCharType="separate"/>
          </w:r>
          <w:r>
            <w:t>1</w:t>
          </w:r>
          <w:r>
            <w:fldChar w:fldCharType="end"/>
          </w:r>
          <w:r>
            <w:rPr>
              <w:rFonts w:hint="eastAsia" w:ascii="黑体" w:hAnsi="黑体" w:eastAsia="黑体" w:cs="黑体"/>
              <w:szCs w:val="96"/>
              <w:lang w:val="en-US" w:eastAsia="zh-CN"/>
            </w:rPr>
            <w:fldChar w:fldCharType="end"/>
          </w:r>
        </w:p>
        <w:p>
          <w:pPr>
            <w:pStyle w:val="9"/>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_Toc15541 </w:instrText>
          </w:r>
          <w:r>
            <w:rPr>
              <w:rFonts w:hint="eastAsia" w:ascii="黑体" w:hAnsi="黑体" w:eastAsia="黑体" w:cs="黑体"/>
              <w:szCs w:val="96"/>
              <w:lang w:val="en-US" w:eastAsia="zh-CN"/>
            </w:rPr>
            <w:fldChar w:fldCharType="separate"/>
          </w:r>
          <w:r>
            <w:rPr>
              <w:rFonts w:hint="eastAsia"/>
              <w:szCs w:val="36"/>
              <w:lang w:val="en-US" w:eastAsia="zh-CN"/>
            </w:rPr>
            <w:t>1.2 存在的问题与不足</w:t>
          </w:r>
          <w:r>
            <w:tab/>
          </w:r>
          <w:r>
            <w:fldChar w:fldCharType="begin"/>
          </w:r>
          <w:r>
            <w:instrText xml:space="preserve"> PAGEREF _Toc15541 \h </w:instrText>
          </w:r>
          <w:r>
            <w:fldChar w:fldCharType="separate"/>
          </w:r>
          <w:r>
            <w:t>1</w:t>
          </w:r>
          <w:r>
            <w:fldChar w:fldCharType="end"/>
          </w:r>
          <w:r>
            <w:rPr>
              <w:rFonts w:hint="eastAsia" w:ascii="黑体" w:hAnsi="黑体" w:eastAsia="黑体" w:cs="黑体"/>
              <w:szCs w:val="96"/>
              <w:lang w:val="en-US" w:eastAsia="zh-CN"/>
            </w:rPr>
            <w:fldChar w:fldCharType="end"/>
          </w:r>
        </w:p>
        <w:p>
          <w:pPr>
            <w:pStyle w:val="8"/>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_Toc25945 </w:instrText>
          </w:r>
          <w:r>
            <w:rPr>
              <w:rFonts w:hint="eastAsia" w:ascii="黑体" w:hAnsi="黑体" w:eastAsia="黑体" w:cs="黑体"/>
              <w:szCs w:val="96"/>
              <w:lang w:val="en-US" w:eastAsia="zh-CN"/>
            </w:rPr>
            <w:fldChar w:fldCharType="separate"/>
          </w:r>
          <w:r>
            <w:rPr>
              <w:rFonts w:hint="eastAsia"/>
              <w:lang w:val="en-US" w:eastAsia="zh-CN"/>
            </w:rPr>
            <w:t>2 “十四五”规划展望</w:t>
          </w:r>
          <w:r>
            <w:tab/>
          </w:r>
          <w:r>
            <w:fldChar w:fldCharType="begin"/>
          </w:r>
          <w:r>
            <w:instrText xml:space="preserve"> PAGEREF _Toc25945 \h </w:instrText>
          </w:r>
          <w:r>
            <w:fldChar w:fldCharType="separate"/>
          </w:r>
          <w:r>
            <w:t>2</w:t>
          </w:r>
          <w:r>
            <w:fldChar w:fldCharType="end"/>
          </w:r>
          <w:r>
            <w:rPr>
              <w:rFonts w:hint="eastAsia" w:ascii="黑体" w:hAnsi="黑体" w:eastAsia="黑体" w:cs="黑体"/>
              <w:szCs w:val="96"/>
              <w:lang w:val="en-US" w:eastAsia="zh-CN"/>
            </w:rPr>
            <w:fldChar w:fldCharType="end"/>
          </w:r>
        </w:p>
        <w:p>
          <w:pPr>
            <w:pStyle w:val="9"/>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_Toc3043 </w:instrText>
          </w:r>
          <w:r>
            <w:rPr>
              <w:rFonts w:hint="eastAsia" w:ascii="黑体" w:hAnsi="黑体" w:eastAsia="黑体" w:cs="黑体"/>
              <w:szCs w:val="96"/>
              <w:lang w:val="en-US" w:eastAsia="zh-CN"/>
            </w:rPr>
            <w:fldChar w:fldCharType="separate"/>
          </w:r>
          <w:r>
            <w:rPr>
              <w:rFonts w:hint="eastAsia"/>
              <w:szCs w:val="36"/>
              <w:lang w:val="en-US" w:eastAsia="zh-CN"/>
            </w:rPr>
            <w:t>2.1 指导思想</w:t>
          </w:r>
          <w:r>
            <w:tab/>
          </w:r>
          <w:r>
            <w:fldChar w:fldCharType="begin"/>
          </w:r>
          <w:r>
            <w:instrText xml:space="preserve"> PAGEREF _Toc3043 \h </w:instrText>
          </w:r>
          <w:r>
            <w:fldChar w:fldCharType="separate"/>
          </w:r>
          <w:r>
            <w:t>2</w:t>
          </w:r>
          <w:r>
            <w:fldChar w:fldCharType="end"/>
          </w:r>
          <w:r>
            <w:rPr>
              <w:rFonts w:hint="eastAsia" w:ascii="黑体" w:hAnsi="黑体" w:eastAsia="黑体" w:cs="黑体"/>
              <w:szCs w:val="96"/>
              <w:lang w:val="en-US" w:eastAsia="zh-CN"/>
            </w:rPr>
            <w:fldChar w:fldCharType="end"/>
          </w:r>
        </w:p>
        <w:p>
          <w:pPr>
            <w:pStyle w:val="9"/>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_Toc9171 </w:instrText>
          </w:r>
          <w:r>
            <w:rPr>
              <w:rFonts w:hint="eastAsia" w:ascii="黑体" w:hAnsi="黑体" w:eastAsia="黑体" w:cs="黑体"/>
              <w:szCs w:val="96"/>
              <w:lang w:val="en-US" w:eastAsia="zh-CN"/>
            </w:rPr>
            <w:fldChar w:fldCharType="separate"/>
          </w:r>
          <w:r>
            <w:rPr>
              <w:rFonts w:hint="eastAsia"/>
              <w:szCs w:val="36"/>
              <w:lang w:val="en-US" w:eastAsia="zh-CN"/>
            </w:rPr>
            <w:t>2.2 规划原则</w:t>
          </w:r>
          <w:r>
            <w:tab/>
          </w:r>
          <w:r>
            <w:fldChar w:fldCharType="begin"/>
          </w:r>
          <w:r>
            <w:instrText xml:space="preserve"> PAGEREF _Toc9171 \h </w:instrText>
          </w:r>
          <w:r>
            <w:fldChar w:fldCharType="separate"/>
          </w:r>
          <w:r>
            <w:t>2</w:t>
          </w:r>
          <w:r>
            <w:fldChar w:fldCharType="end"/>
          </w:r>
          <w:r>
            <w:rPr>
              <w:rFonts w:hint="eastAsia" w:ascii="黑体" w:hAnsi="黑体" w:eastAsia="黑体" w:cs="黑体"/>
              <w:szCs w:val="96"/>
              <w:lang w:val="en-US" w:eastAsia="zh-CN"/>
            </w:rPr>
            <w:fldChar w:fldCharType="end"/>
          </w:r>
        </w:p>
        <w:p>
          <w:pPr>
            <w:pStyle w:val="9"/>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_Toc12941 </w:instrText>
          </w:r>
          <w:r>
            <w:rPr>
              <w:rFonts w:hint="eastAsia" w:ascii="黑体" w:hAnsi="黑体" w:eastAsia="黑体" w:cs="黑体"/>
              <w:szCs w:val="96"/>
              <w:lang w:val="en-US" w:eastAsia="zh-CN"/>
            </w:rPr>
            <w:fldChar w:fldCharType="separate"/>
          </w:r>
          <w:r>
            <w:rPr>
              <w:rFonts w:hint="eastAsia"/>
              <w:szCs w:val="36"/>
              <w:lang w:val="en-US" w:eastAsia="zh-CN"/>
            </w:rPr>
            <w:t>2.3 发展目标</w:t>
          </w:r>
          <w:r>
            <w:tab/>
          </w:r>
          <w:r>
            <w:fldChar w:fldCharType="begin"/>
          </w:r>
          <w:r>
            <w:instrText xml:space="preserve"> PAGEREF _Toc12941 \h </w:instrText>
          </w:r>
          <w:r>
            <w:fldChar w:fldCharType="separate"/>
          </w:r>
          <w:r>
            <w:t>3</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_Toc22319 </w:instrText>
          </w:r>
          <w:r>
            <w:rPr>
              <w:rFonts w:hint="eastAsia" w:ascii="黑体" w:hAnsi="黑体" w:eastAsia="黑体" w:cs="黑体"/>
              <w:szCs w:val="96"/>
              <w:lang w:val="en-US" w:eastAsia="zh-CN"/>
            </w:rPr>
            <w:fldChar w:fldCharType="separate"/>
          </w:r>
          <w:r>
            <w:rPr>
              <w:rFonts w:hint="eastAsia"/>
              <w:lang w:val="en-US" w:eastAsia="zh-CN"/>
            </w:rPr>
            <w:t>2.3.1 森林资源</w:t>
          </w:r>
          <w:r>
            <w:tab/>
          </w:r>
          <w:r>
            <w:fldChar w:fldCharType="begin"/>
          </w:r>
          <w:r>
            <w:instrText xml:space="preserve"> PAGEREF _Toc22319 \h </w:instrText>
          </w:r>
          <w:r>
            <w:fldChar w:fldCharType="separate"/>
          </w:r>
          <w:r>
            <w:t>3</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_Toc14726 </w:instrText>
          </w:r>
          <w:r>
            <w:rPr>
              <w:rFonts w:hint="eastAsia" w:ascii="黑体" w:hAnsi="黑体" w:eastAsia="黑体" w:cs="黑体"/>
              <w:szCs w:val="96"/>
              <w:lang w:val="en-US" w:eastAsia="zh-CN"/>
            </w:rPr>
            <w:fldChar w:fldCharType="separate"/>
          </w:r>
          <w:r>
            <w:rPr>
              <w:rFonts w:hint="eastAsia"/>
              <w:lang w:val="en-US" w:eastAsia="zh-CN"/>
            </w:rPr>
            <w:t>2.3.2 “双碳”目标</w:t>
          </w:r>
          <w:r>
            <w:tab/>
          </w:r>
          <w:r>
            <w:fldChar w:fldCharType="begin"/>
          </w:r>
          <w:r>
            <w:instrText xml:space="preserve"> PAGEREF _Toc14726 \h </w:instrText>
          </w:r>
          <w:r>
            <w:fldChar w:fldCharType="separate"/>
          </w:r>
          <w:r>
            <w:t>3</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_Toc6586 </w:instrText>
          </w:r>
          <w:r>
            <w:rPr>
              <w:rFonts w:hint="eastAsia" w:ascii="黑体" w:hAnsi="黑体" w:eastAsia="黑体" w:cs="黑体"/>
              <w:szCs w:val="96"/>
              <w:lang w:val="en-US" w:eastAsia="zh-CN"/>
            </w:rPr>
            <w:fldChar w:fldCharType="separate"/>
          </w:r>
          <w:r>
            <w:rPr>
              <w:rFonts w:hint="eastAsia"/>
              <w:lang w:val="en-US" w:eastAsia="zh-CN"/>
            </w:rPr>
            <w:t>2.3.3 林业产业产值</w:t>
          </w:r>
          <w:r>
            <w:tab/>
          </w:r>
          <w:r>
            <w:fldChar w:fldCharType="begin"/>
          </w:r>
          <w:r>
            <w:instrText xml:space="preserve"> PAGEREF _Toc6586 \h </w:instrText>
          </w:r>
          <w:r>
            <w:fldChar w:fldCharType="separate"/>
          </w:r>
          <w:r>
            <w:t>4</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_Toc15271 </w:instrText>
          </w:r>
          <w:r>
            <w:rPr>
              <w:rFonts w:hint="eastAsia" w:ascii="黑体" w:hAnsi="黑体" w:eastAsia="黑体" w:cs="黑体"/>
              <w:szCs w:val="96"/>
              <w:lang w:val="en-US" w:eastAsia="zh-CN"/>
            </w:rPr>
            <w:fldChar w:fldCharType="separate"/>
          </w:r>
          <w:r>
            <w:rPr>
              <w:rFonts w:hint="eastAsia"/>
              <w:lang w:val="en-US" w:eastAsia="zh-CN"/>
            </w:rPr>
            <w:t>2.3.4 湿地保护</w:t>
          </w:r>
          <w:r>
            <w:tab/>
          </w:r>
          <w:r>
            <w:fldChar w:fldCharType="begin"/>
          </w:r>
          <w:r>
            <w:instrText xml:space="preserve"> PAGEREF _Toc15271 \h </w:instrText>
          </w:r>
          <w:r>
            <w:fldChar w:fldCharType="separate"/>
          </w:r>
          <w:r>
            <w:t>4</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_Toc17850 </w:instrText>
          </w:r>
          <w:r>
            <w:rPr>
              <w:rFonts w:hint="eastAsia" w:ascii="黑体" w:hAnsi="黑体" w:eastAsia="黑体" w:cs="黑体"/>
              <w:szCs w:val="96"/>
              <w:lang w:val="en-US" w:eastAsia="zh-CN"/>
            </w:rPr>
            <w:fldChar w:fldCharType="separate"/>
          </w:r>
          <w:r>
            <w:rPr>
              <w:rFonts w:hint="eastAsia"/>
              <w:lang w:val="en-US" w:eastAsia="zh-CN"/>
            </w:rPr>
            <w:t>2.3.5 森林病虫害防治</w:t>
          </w:r>
          <w:r>
            <w:tab/>
          </w:r>
          <w:r>
            <w:fldChar w:fldCharType="begin"/>
          </w:r>
          <w:r>
            <w:instrText xml:space="preserve"> PAGEREF _Toc17850 \h </w:instrText>
          </w:r>
          <w:r>
            <w:fldChar w:fldCharType="separate"/>
          </w:r>
          <w:r>
            <w:t>5</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_Toc29087 </w:instrText>
          </w:r>
          <w:r>
            <w:rPr>
              <w:rFonts w:hint="eastAsia" w:ascii="黑体" w:hAnsi="黑体" w:eastAsia="黑体" w:cs="黑体"/>
              <w:szCs w:val="96"/>
              <w:lang w:val="en-US" w:eastAsia="zh-CN"/>
            </w:rPr>
            <w:fldChar w:fldCharType="separate"/>
          </w:r>
          <w:r>
            <w:rPr>
              <w:rFonts w:hint="eastAsia"/>
              <w:lang w:val="en-US" w:eastAsia="zh-CN"/>
            </w:rPr>
            <w:t>2.3.6 野生动物保护</w:t>
          </w:r>
          <w:r>
            <w:tab/>
          </w:r>
          <w:r>
            <w:fldChar w:fldCharType="begin"/>
          </w:r>
          <w:r>
            <w:instrText xml:space="preserve"> PAGEREF _Toc29087 \h </w:instrText>
          </w:r>
          <w:r>
            <w:fldChar w:fldCharType="separate"/>
          </w:r>
          <w:r>
            <w:t>5</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_Toc640 </w:instrText>
          </w:r>
          <w:r>
            <w:rPr>
              <w:rFonts w:hint="eastAsia" w:ascii="黑体" w:hAnsi="黑体" w:eastAsia="黑体" w:cs="黑体"/>
              <w:szCs w:val="96"/>
              <w:lang w:val="en-US" w:eastAsia="zh-CN"/>
            </w:rPr>
            <w:fldChar w:fldCharType="separate"/>
          </w:r>
          <w:r>
            <w:rPr>
              <w:rFonts w:hint="eastAsia"/>
              <w:lang w:val="en-US" w:eastAsia="zh-CN"/>
            </w:rPr>
            <w:t>2.3.7 造林绿化</w:t>
          </w:r>
          <w:r>
            <w:tab/>
          </w:r>
          <w:r>
            <w:fldChar w:fldCharType="begin"/>
          </w:r>
          <w:r>
            <w:instrText xml:space="preserve"> PAGEREF _Toc640 \h </w:instrText>
          </w:r>
          <w:r>
            <w:fldChar w:fldCharType="separate"/>
          </w:r>
          <w:r>
            <w:t>6</w:t>
          </w:r>
          <w:r>
            <w:fldChar w:fldCharType="end"/>
          </w:r>
          <w:r>
            <w:rPr>
              <w:rFonts w:hint="eastAsia" w:ascii="黑体" w:hAnsi="黑体" w:eastAsia="黑体" w:cs="黑体"/>
              <w:szCs w:val="96"/>
              <w:lang w:val="en-US" w:eastAsia="zh-CN"/>
            </w:rPr>
            <w:fldChar w:fldCharType="end"/>
          </w:r>
        </w:p>
        <w:p>
          <w:pPr>
            <w:pStyle w:val="9"/>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_Toc31068 </w:instrText>
          </w:r>
          <w:r>
            <w:rPr>
              <w:rFonts w:hint="eastAsia" w:ascii="黑体" w:hAnsi="黑体" w:eastAsia="黑体" w:cs="黑体"/>
              <w:szCs w:val="96"/>
              <w:lang w:val="en-US" w:eastAsia="zh-CN"/>
            </w:rPr>
            <w:fldChar w:fldCharType="separate"/>
          </w:r>
          <w:r>
            <w:rPr>
              <w:rFonts w:hint="eastAsia"/>
              <w:szCs w:val="36"/>
              <w:lang w:val="en-US" w:eastAsia="zh-CN"/>
            </w:rPr>
            <w:t>2.4 规划项目</w:t>
          </w:r>
          <w:r>
            <w:tab/>
          </w:r>
          <w:r>
            <w:fldChar w:fldCharType="begin"/>
          </w:r>
          <w:r>
            <w:instrText xml:space="preserve"> PAGEREF _Toc31068 \h </w:instrText>
          </w:r>
          <w:r>
            <w:fldChar w:fldCharType="separate"/>
          </w:r>
          <w:r>
            <w:t>6</w:t>
          </w:r>
          <w:r>
            <w:fldChar w:fldCharType="end"/>
          </w:r>
          <w:r>
            <w:rPr>
              <w:rFonts w:hint="eastAsia" w:ascii="黑体" w:hAnsi="黑体" w:eastAsia="黑体" w:cs="黑体"/>
              <w:szCs w:val="96"/>
              <w:lang w:val="en-US" w:eastAsia="zh-CN"/>
            </w:rPr>
            <w:fldChar w:fldCharType="end"/>
          </w:r>
        </w:p>
        <w:p>
          <w:pPr>
            <w:pStyle w:val="9"/>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_Toc8889 </w:instrText>
          </w:r>
          <w:r>
            <w:rPr>
              <w:rFonts w:hint="eastAsia" w:ascii="黑体" w:hAnsi="黑体" w:eastAsia="黑体" w:cs="黑体"/>
              <w:szCs w:val="96"/>
              <w:lang w:val="en-US" w:eastAsia="zh-CN"/>
            </w:rPr>
            <w:fldChar w:fldCharType="separate"/>
          </w:r>
          <w:r>
            <w:rPr>
              <w:rFonts w:hint="eastAsia"/>
              <w:szCs w:val="36"/>
              <w:lang w:val="en-US" w:eastAsia="zh-CN"/>
            </w:rPr>
            <w:t>2.5 产业布局</w:t>
          </w:r>
          <w:r>
            <w:tab/>
          </w:r>
          <w:r>
            <w:fldChar w:fldCharType="begin"/>
          </w:r>
          <w:r>
            <w:instrText xml:space="preserve"> PAGEREF _Toc8889 \h </w:instrText>
          </w:r>
          <w:r>
            <w:fldChar w:fldCharType="separate"/>
          </w:r>
          <w:r>
            <w:t>6</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_Toc7555 </w:instrText>
          </w:r>
          <w:r>
            <w:rPr>
              <w:rFonts w:hint="eastAsia" w:ascii="黑体" w:hAnsi="黑体" w:eastAsia="黑体" w:cs="黑体"/>
              <w:szCs w:val="96"/>
              <w:lang w:val="en-US" w:eastAsia="zh-CN"/>
            </w:rPr>
            <w:fldChar w:fldCharType="separate"/>
          </w:r>
          <w:r>
            <w:rPr>
              <w:rFonts w:hint="eastAsia"/>
              <w:lang w:val="en-US" w:eastAsia="zh-CN"/>
            </w:rPr>
            <w:t>2.5.1 新桥河镇</w:t>
          </w:r>
          <w:r>
            <w:tab/>
          </w:r>
          <w:r>
            <w:fldChar w:fldCharType="begin"/>
          </w:r>
          <w:r>
            <w:instrText xml:space="preserve"> PAGEREF _Toc7555 \h </w:instrText>
          </w:r>
          <w:r>
            <w:fldChar w:fldCharType="separate"/>
          </w:r>
          <w:r>
            <w:t>9</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_Toc9849 </w:instrText>
          </w:r>
          <w:r>
            <w:rPr>
              <w:rFonts w:hint="eastAsia" w:ascii="黑体" w:hAnsi="黑体" w:eastAsia="黑体" w:cs="黑体"/>
              <w:szCs w:val="96"/>
              <w:lang w:val="en-US" w:eastAsia="zh-CN"/>
            </w:rPr>
            <w:fldChar w:fldCharType="separate"/>
          </w:r>
          <w:r>
            <w:rPr>
              <w:rFonts w:hint="eastAsia"/>
              <w:lang w:val="en-US" w:eastAsia="zh-CN"/>
            </w:rPr>
            <w:t>2.5.2 长春镇</w:t>
          </w:r>
          <w:r>
            <w:tab/>
          </w:r>
          <w:r>
            <w:fldChar w:fldCharType="begin"/>
          </w:r>
          <w:r>
            <w:instrText xml:space="preserve"> PAGEREF _Toc9849 \h </w:instrText>
          </w:r>
          <w:r>
            <w:fldChar w:fldCharType="separate"/>
          </w:r>
          <w:r>
            <w:t>9</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_Toc17866 </w:instrText>
          </w:r>
          <w:r>
            <w:rPr>
              <w:rFonts w:hint="eastAsia" w:ascii="黑体" w:hAnsi="黑体" w:eastAsia="黑体" w:cs="黑体"/>
              <w:szCs w:val="96"/>
              <w:lang w:val="en-US" w:eastAsia="zh-CN"/>
            </w:rPr>
            <w:fldChar w:fldCharType="separate"/>
          </w:r>
          <w:r>
            <w:rPr>
              <w:rFonts w:hint="eastAsia"/>
              <w:lang w:val="en-US" w:eastAsia="zh-CN"/>
            </w:rPr>
            <w:t>2.5.3 民主垸</w:t>
          </w:r>
          <w:r>
            <w:tab/>
          </w:r>
          <w:r>
            <w:fldChar w:fldCharType="begin"/>
          </w:r>
          <w:r>
            <w:instrText xml:space="preserve"> PAGEREF _Toc17866 \h </w:instrText>
          </w:r>
          <w:r>
            <w:fldChar w:fldCharType="separate"/>
          </w:r>
          <w:r>
            <w:t>9</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_Toc1704 </w:instrText>
          </w:r>
          <w:r>
            <w:rPr>
              <w:rFonts w:hint="eastAsia" w:ascii="黑体" w:hAnsi="黑体" w:eastAsia="黑体" w:cs="黑体"/>
              <w:szCs w:val="96"/>
              <w:lang w:val="en-US" w:eastAsia="zh-CN"/>
            </w:rPr>
            <w:fldChar w:fldCharType="separate"/>
          </w:r>
          <w:r>
            <w:rPr>
              <w:rFonts w:hint="eastAsia"/>
              <w:lang w:val="en-US" w:eastAsia="zh-CN"/>
            </w:rPr>
            <w:t>2.5.4 长春经济开发区</w:t>
          </w:r>
          <w:r>
            <w:tab/>
          </w:r>
          <w:r>
            <w:fldChar w:fldCharType="begin"/>
          </w:r>
          <w:r>
            <w:instrText xml:space="preserve"> PAGEREF _Toc1704 \h </w:instrText>
          </w:r>
          <w:r>
            <w:fldChar w:fldCharType="separate"/>
          </w:r>
          <w:r>
            <w:t>9</w:t>
          </w:r>
          <w:r>
            <w:fldChar w:fldCharType="end"/>
          </w:r>
          <w:r>
            <w:rPr>
              <w:rFonts w:hint="eastAsia" w:ascii="黑体" w:hAnsi="黑体" w:eastAsia="黑体" w:cs="黑体"/>
              <w:szCs w:val="96"/>
              <w:lang w:val="en-US" w:eastAsia="zh-CN"/>
            </w:rPr>
            <w:fldChar w:fldCharType="end"/>
          </w:r>
        </w:p>
        <w:p>
          <w:pPr>
            <w:pStyle w:val="9"/>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_Toc16199 </w:instrText>
          </w:r>
          <w:r>
            <w:rPr>
              <w:rFonts w:hint="eastAsia" w:ascii="黑体" w:hAnsi="黑体" w:eastAsia="黑体" w:cs="黑体"/>
              <w:szCs w:val="96"/>
              <w:lang w:val="en-US" w:eastAsia="zh-CN"/>
            </w:rPr>
            <w:fldChar w:fldCharType="separate"/>
          </w:r>
          <w:r>
            <w:rPr>
              <w:rFonts w:hint="eastAsia"/>
              <w:szCs w:val="36"/>
              <w:lang w:val="en-US" w:eastAsia="zh-CN"/>
            </w:rPr>
            <w:t>2.6 效益分析</w:t>
          </w:r>
          <w:r>
            <w:tab/>
          </w:r>
          <w:r>
            <w:fldChar w:fldCharType="begin"/>
          </w:r>
          <w:r>
            <w:instrText xml:space="preserve"> PAGEREF _Toc16199 \h </w:instrText>
          </w:r>
          <w:r>
            <w:fldChar w:fldCharType="separate"/>
          </w:r>
          <w:r>
            <w:t>9</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_Toc23726 </w:instrText>
          </w:r>
          <w:r>
            <w:rPr>
              <w:rFonts w:hint="eastAsia" w:ascii="黑体" w:hAnsi="黑体" w:eastAsia="黑体" w:cs="黑体"/>
              <w:szCs w:val="96"/>
              <w:lang w:val="en-US" w:eastAsia="zh-CN"/>
            </w:rPr>
            <w:fldChar w:fldCharType="separate"/>
          </w:r>
          <w:r>
            <w:rPr>
              <w:rFonts w:hint="eastAsia"/>
              <w:lang w:val="en-US" w:eastAsia="zh-CN"/>
            </w:rPr>
            <w:t>2.6.1 生态效益分析</w:t>
          </w:r>
          <w:r>
            <w:tab/>
          </w:r>
          <w:r>
            <w:fldChar w:fldCharType="begin"/>
          </w:r>
          <w:r>
            <w:instrText xml:space="preserve"> PAGEREF _Toc23726 \h </w:instrText>
          </w:r>
          <w:r>
            <w:fldChar w:fldCharType="separate"/>
          </w:r>
          <w:r>
            <w:t>9</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_Toc17376 </w:instrText>
          </w:r>
          <w:r>
            <w:rPr>
              <w:rFonts w:hint="eastAsia" w:ascii="黑体" w:hAnsi="黑体" w:eastAsia="黑体" w:cs="黑体"/>
              <w:szCs w:val="96"/>
              <w:lang w:val="en-US" w:eastAsia="zh-CN"/>
            </w:rPr>
            <w:fldChar w:fldCharType="separate"/>
          </w:r>
          <w:r>
            <w:rPr>
              <w:rFonts w:hint="eastAsia"/>
              <w:lang w:val="en-US" w:eastAsia="zh-CN"/>
            </w:rPr>
            <w:t>2.6.2 经济效益分析</w:t>
          </w:r>
          <w:r>
            <w:tab/>
          </w:r>
          <w:r>
            <w:fldChar w:fldCharType="begin"/>
          </w:r>
          <w:r>
            <w:instrText xml:space="preserve"> PAGEREF _Toc17376 \h </w:instrText>
          </w:r>
          <w:r>
            <w:fldChar w:fldCharType="separate"/>
          </w:r>
          <w:r>
            <w:t>10</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_Toc20618 </w:instrText>
          </w:r>
          <w:r>
            <w:rPr>
              <w:rFonts w:hint="eastAsia" w:ascii="黑体" w:hAnsi="黑体" w:eastAsia="黑体" w:cs="黑体"/>
              <w:szCs w:val="96"/>
              <w:lang w:val="en-US" w:eastAsia="zh-CN"/>
            </w:rPr>
            <w:fldChar w:fldCharType="separate"/>
          </w:r>
          <w:r>
            <w:rPr>
              <w:rFonts w:hint="eastAsia"/>
              <w:lang w:val="en-US" w:eastAsia="zh-CN"/>
            </w:rPr>
            <w:t>2.6.3 社会效益分析</w:t>
          </w:r>
          <w:r>
            <w:tab/>
          </w:r>
          <w:r>
            <w:fldChar w:fldCharType="begin"/>
          </w:r>
          <w:r>
            <w:instrText xml:space="preserve"> PAGEREF _Toc20618 \h </w:instrText>
          </w:r>
          <w:r>
            <w:fldChar w:fldCharType="separate"/>
          </w:r>
          <w:r>
            <w:t>10</w:t>
          </w:r>
          <w:r>
            <w:fldChar w:fldCharType="end"/>
          </w:r>
          <w:r>
            <w:rPr>
              <w:rFonts w:hint="eastAsia" w:ascii="黑体" w:hAnsi="黑体" w:eastAsia="黑体" w:cs="黑体"/>
              <w:szCs w:val="96"/>
              <w:lang w:val="en-US" w:eastAsia="zh-CN"/>
            </w:rPr>
            <w:fldChar w:fldCharType="end"/>
          </w:r>
        </w:p>
        <w:p>
          <w:pPr>
            <w:pStyle w:val="9"/>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_Toc8827 </w:instrText>
          </w:r>
          <w:r>
            <w:rPr>
              <w:rFonts w:hint="eastAsia" w:ascii="黑体" w:hAnsi="黑体" w:eastAsia="黑体" w:cs="黑体"/>
              <w:szCs w:val="96"/>
              <w:lang w:val="en-US" w:eastAsia="zh-CN"/>
            </w:rPr>
            <w:fldChar w:fldCharType="separate"/>
          </w:r>
          <w:r>
            <w:rPr>
              <w:rFonts w:hint="eastAsia"/>
              <w:szCs w:val="36"/>
              <w:lang w:val="en-US" w:eastAsia="zh-CN"/>
            </w:rPr>
            <w:t>2.7 保障措施</w:t>
          </w:r>
          <w:r>
            <w:tab/>
          </w:r>
          <w:r>
            <w:fldChar w:fldCharType="begin"/>
          </w:r>
          <w:r>
            <w:instrText xml:space="preserve"> PAGEREF _Toc8827 \h </w:instrText>
          </w:r>
          <w:r>
            <w:fldChar w:fldCharType="separate"/>
          </w:r>
          <w:r>
            <w:t>11</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_Toc18631 </w:instrText>
          </w:r>
          <w:r>
            <w:rPr>
              <w:rFonts w:hint="eastAsia" w:ascii="黑体" w:hAnsi="黑体" w:eastAsia="黑体" w:cs="黑体"/>
              <w:szCs w:val="96"/>
              <w:lang w:val="en-US" w:eastAsia="zh-CN"/>
            </w:rPr>
            <w:fldChar w:fldCharType="separate"/>
          </w:r>
          <w:r>
            <w:rPr>
              <w:rFonts w:hint="eastAsia"/>
              <w:lang w:val="en-US" w:eastAsia="zh-CN"/>
            </w:rPr>
            <w:t>2.7.1 组织保障</w:t>
          </w:r>
          <w:r>
            <w:tab/>
          </w:r>
          <w:r>
            <w:fldChar w:fldCharType="begin"/>
          </w:r>
          <w:r>
            <w:instrText xml:space="preserve"> PAGEREF _Toc18631 \h </w:instrText>
          </w:r>
          <w:r>
            <w:fldChar w:fldCharType="separate"/>
          </w:r>
          <w:r>
            <w:t>11</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_Toc13749 </w:instrText>
          </w:r>
          <w:r>
            <w:rPr>
              <w:rFonts w:hint="eastAsia" w:ascii="黑体" w:hAnsi="黑体" w:eastAsia="黑体" w:cs="黑体"/>
              <w:szCs w:val="96"/>
              <w:lang w:val="en-US" w:eastAsia="zh-CN"/>
            </w:rPr>
            <w:fldChar w:fldCharType="separate"/>
          </w:r>
          <w:r>
            <w:rPr>
              <w:rFonts w:hint="eastAsia"/>
              <w:lang w:val="en-US" w:eastAsia="zh-CN"/>
            </w:rPr>
            <w:t>2.7.2 制度保障</w:t>
          </w:r>
          <w:r>
            <w:tab/>
          </w:r>
          <w:r>
            <w:fldChar w:fldCharType="begin"/>
          </w:r>
          <w:r>
            <w:instrText xml:space="preserve"> PAGEREF _Toc13749 \h </w:instrText>
          </w:r>
          <w:r>
            <w:fldChar w:fldCharType="separate"/>
          </w:r>
          <w:r>
            <w:t>12</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_Toc29414 </w:instrText>
          </w:r>
          <w:r>
            <w:rPr>
              <w:rFonts w:hint="eastAsia" w:ascii="黑体" w:hAnsi="黑体" w:eastAsia="黑体" w:cs="黑体"/>
              <w:szCs w:val="96"/>
              <w:lang w:val="en-US" w:eastAsia="zh-CN"/>
            </w:rPr>
            <w:fldChar w:fldCharType="separate"/>
          </w:r>
          <w:r>
            <w:rPr>
              <w:rFonts w:hint="eastAsia"/>
              <w:lang w:val="en-US" w:eastAsia="zh-CN"/>
            </w:rPr>
            <w:t>2.7.3 资金保障</w:t>
          </w:r>
          <w:r>
            <w:tab/>
          </w:r>
          <w:r>
            <w:fldChar w:fldCharType="begin"/>
          </w:r>
          <w:r>
            <w:instrText xml:space="preserve"> PAGEREF _Toc29414 \h </w:instrText>
          </w:r>
          <w:r>
            <w:fldChar w:fldCharType="separate"/>
          </w:r>
          <w:r>
            <w:t>13</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_Toc1301 </w:instrText>
          </w:r>
          <w:r>
            <w:rPr>
              <w:rFonts w:hint="eastAsia" w:ascii="黑体" w:hAnsi="黑体" w:eastAsia="黑体" w:cs="黑体"/>
              <w:szCs w:val="96"/>
              <w:lang w:val="en-US" w:eastAsia="zh-CN"/>
            </w:rPr>
            <w:fldChar w:fldCharType="separate"/>
          </w:r>
          <w:r>
            <w:rPr>
              <w:rFonts w:hint="eastAsia"/>
              <w:lang w:val="en-US" w:eastAsia="zh-CN"/>
            </w:rPr>
            <w:t>2.7.4 机制保障</w:t>
          </w:r>
          <w:r>
            <w:tab/>
          </w:r>
          <w:r>
            <w:fldChar w:fldCharType="begin"/>
          </w:r>
          <w:r>
            <w:instrText xml:space="preserve"> PAGEREF _Toc1301 \h </w:instrText>
          </w:r>
          <w:r>
            <w:fldChar w:fldCharType="separate"/>
          </w:r>
          <w:r>
            <w:t>13</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_Toc12335 </w:instrText>
          </w:r>
          <w:r>
            <w:rPr>
              <w:rFonts w:hint="eastAsia" w:ascii="黑体" w:hAnsi="黑体" w:eastAsia="黑体" w:cs="黑体"/>
              <w:szCs w:val="96"/>
              <w:lang w:val="en-US" w:eastAsia="zh-CN"/>
            </w:rPr>
            <w:fldChar w:fldCharType="separate"/>
          </w:r>
          <w:r>
            <w:rPr>
              <w:rFonts w:hint="eastAsia"/>
              <w:lang w:val="en-US" w:eastAsia="zh-CN"/>
            </w:rPr>
            <w:t>2.7.5 法律保障</w:t>
          </w:r>
          <w:r>
            <w:tab/>
          </w:r>
          <w:r>
            <w:fldChar w:fldCharType="begin"/>
          </w:r>
          <w:r>
            <w:instrText xml:space="preserve"> PAGEREF _Toc12335 \h </w:instrText>
          </w:r>
          <w:r>
            <w:fldChar w:fldCharType="separate"/>
          </w:r>
          <w:r>
            <w:t>14</w:t>
          </w:r>
          <w:r>
            <w:fldChar w:fldCharType="end"/>
          </w:r>
          <w:r>
            <w:rPr>
              <w:rFonts w:hint="eastAsia" w:ascii="黑体" w:hAnsi="黑体" w:eastAsia="黑体" w:cs="黑体"/>
              <w:szCs w:val="96"/>
              <w:lang w:val="en-US" w:eastAsia="zh-CN"/>
            </w:rPr>
            <w:fldChar w:fldCharType="end"/>
          </w:r>
        </w:p>
        <w:p>
          <w:pPr>
            <w:pStyle w:val="5"/>
            <w:tabs>
              <w:tab w:val="right" w:leader="dot" w:pos="8306"/>
            </w:tabs>
          </w:pPr>
          <w:r>
            <w:rPr>
              <w:rFonts w:hint="eastAsia" w:ascii="黑体" w:hAnsi="黑体" w:eastAsia="黑体" w:cs="黑体"/>
              <w:szCs w:val="96"/>
              <w:lang w:val="en-US" w:eastAsia="zh-CN"/>
            </w:rPr>
            <w:fldChar w:fldCharType="begin"/>
          </w:r>
          <w:r>
            <w:rPr>
              <w:rFonts w:hint="eastAsia" w:ascii="黑体" w:hAnsi="黑体" w:eastAsia="黑体" w:cs="黑体"/>
              <w:szCs w:val="96"/>
              <w:lang w:val="en-US" w:eastAsia="zh-CN"/>
            </w:rPr>
            <w:instrText xml:space="preserve"> HYPERLINK \l _Toc3358 </w:instrText>
          </w:r>
          <w:r>
            <w:rPr>
              <w:rFonts w:hint="eastAsia" w:ascii="黑体" w:hAnsi="黑体" w:eastAsia="黑体" w:cs="黑体"/>
              <w:szCs w:val="96"/>
              <w:lang w:val="en-US" w:eastAsia="zh-CN"/>
            </w:rPr>
            <w:fldChar w:fldCharType="separate"/>
          </w:r>
          <w:r>
            <w:rPr>
              <w:rFonts w:hint="eastAsia"/>
              <w:lang w:val="en-US" w:eastAsia="zh-CN"/>
            </w:rPr>
            <w:t>2.7.6 科技保障</w:t>
          </w:r>
          <w:r>
            <w:tab/>
          </w:r>
          <w:r>
            <w:fldChar w:fldCharType="begin"/>
          </w:r>
          <w:r>
            <w:instrText xml:space="preserve"> PAGEREF _Toc3358 \h </w:instrText>
          </w:r>
          <w:r>
            <w:fldChar w:fldCharType="separate"/>
          </w:r>
          <w:r>
            <w:t>15</w:t>
          </w:r>
          <w:r>
            <w:fldChar w:fldCharType="end"/>
          </w:r>
          <w:r>
            <w:rPr>
              <w:rFonts w:hint="eastAsia" w:ascii="黑体" w:hAnsi="黑体" w:eastAsia="黑体" w:cs="黑体"/>
              <w:szCs w:val="96"/>
              <w:lang w:val="en-US" w:eastAsia="zh-CN"/>
            </w:rPr>
            <w:fldChar w:fldCharType="end"/>
          </w:r>
        </w:p>
        <w:p>
          <w:pPr>
            <w:keepNext w:val="0"/>
            <w:keepLines w:val="0"/>
            <w:pageBreakBefore w:val="0"/>
            <w:tabs>
              <w:tab w:val="left" w:pos="3128"/>
            </w:tabs>
            <w:kinsoku/>
            <w:wordWrap/>
            <w:overflowPunct/>
            <w:topLinePunct w:val="0"/>
            <w:autoSpaceDE/>
            <w:autoSpaceDN/>
            <w:bidi w:val="0"/>
            <w:adjustRightInd/>
            <w:snapToGrid/>
            <w:spacing w:line="480" w:lineRule="exact"/>
            <w:jc w:val="left"/>
            <w:textAlignment w:val="auto"/>
            <w:rPr>
              <w:rFonts w:hint="eastAsia" w:ascii="黑体" w:hAnsi="黑体" w:eastAsia="黑体" w:cs="黑体"/>
              <w:sz w:val="32"/>
              <w:szCs w:val="32"/>
              <w:lang w:val="en-US" w:eastAsia="zh-CN"/>
            </w:rPr>
            <w:sectPr>
              <w:footerReference r:id="rId3" w:type="default"/>
              <w:type w:val="continuous"/>
              <w:pgSz w:w="11906" w:h="16838"/>
              <w:pgMar w:top="1440" w:right="1800" w:bottom="1440" w:left="1800" w:header="851" w:footer="992" w:gutter="0"/>
              <w:cols w:space="425" w:num="1"/>
              <w:docGrid w:type="lines" w:linePitch="312" w:charSpace="0"/>
            </w:sectPr>
          </w:pPr>
          <w:r>
            <w:rPr>
              <w:rFonts w:hint="eastAsia" w:ascii="黑体" w:hAnsi="黑体" w:eastAsia="黑体" w:cs="黑体"/>
              <w:szCs w:val="96"/>
              <w:lang w:val="en-US" w:eastAsia="zh-CN"/>
            </w:rPr>
            <w:fldChar w:fldCharType="end"/>
          </w:r>
        </w:p>
      </w:sdtContent>
    </w:sdt>
    <w:p>
      <w:pPr>
        <w:pStyle w:val="2"/>
        <w:bidi w:val="0"/>
        <w:rPr>
          <w:rFonts w:hint="eastAsia"/>
          <w:lang w:val="en-US" w:eastAsia="zh-CN"/>
        </w:rPr>
      </w:pPr>
      <w:bookmarkStart w:id="0" w:name="_Toc2990"/>
      <w:r>
        <w:rPr>
          <w:rFonts w:hint="eastAsia"/>
          <w:lang w:val="en-US" w:eastAsia="zh-CN"/>
        </w:rPr>
        <w:t>1 “十三五”规划总结</w:t>
      </w:r>
      <w:bookmarkEnd w:id="0"/>
    </w:p>
    <w:p>
      <w:pPr>
        <w:pStyle w:val="3"/>
        <w:numPr>
          <w:ilvl w:val="1"/>
          <w:numId w:val="0"/>
        </w:numPr>
        <w:bidi w:val="0"/>
        <w:rPr>
          <w:rFonts w:hint="eastAsia"/>
          <w:sz w:val="36"/>
          <w:szCs w:val="36"/>
          <w:lang w:val="en-US" w:eastAsia="zh-CN"/>
        </w:rPr>
      </w:pPr>
      <w:bookmarkStart w:id="1" w:name="_Toc15504"/>
      <w:r>
        <w:rPr>
          <w:rFonts w:hint="eastAsia"/>
          <w:sz w:val="36"/>
          <w:szCs w:val="36"/>
          <w:lang w:val="en-US" w:eastAsia="zh-CN"/>
        </w:rPr>
        <w:t>1.1 工作成就</w:t>
      </w:r>
      <w:bookmarkEnd w:id="1"/>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在“十</w:t>
      </w:r>
      <w:r>
        <w:rPr>
          <w:rFonts w:hint="eastAsia" w:ascii="仿宋_GB2312" w:hAnsi="仿宋" w:eastAsia="仿宋_GB2312" w:cs="宋体"/>
          <w:kern w:val="0"/>
          <w:sz w:val="32"/>
          <w:szCs w:val="32"/>
          <w:lang w:eastAsia="zh-CN"/>
        </w:rPr>
        <w:t>三</w:t>
      </w:r>
      <w:r>
        <w:rPr>
          <w:rFonts w:hint="eastAsia" w:ascii="仿宋_GB2312" w:hAnsi="仿宋" w:eastAsia="仿宋_GB2312" w:cs="宋体"/>
          <w:kern w:val="0"/>
          <w:sz w:val="32"/>
          <w:szCs w:val="32"/>
        </w:rPr>
        <w:t>五”期间，资阳林业认真贯彻中央、省、市关于林业生态建设的相关精神，以立足职能、服务群众为宗旨，围绕“兴林富民”这一主题，大力推进现代林业与高效生态林业建设，林业资源和林业产业得到较快发展，全区生态明显改善，较好完成了区委、区政府及上级主管部门安排部署的各项目标任务。</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资阳实现了森林面积、森林覆盖率</w:t>
      </w:r>
      <w:r>
        <w:rPr>
          <w:rFonts w:hint="eastAsia" w:ascii="仿宋_GB2312" w:hAnsi="仿宋" w:eastAsia="仿宋_GB2312" w:cs="宋体"/>
          <w:kern w:val="0"/>
          <w:sz w:val="32"/>
          <w:szCs w:val="32"/>
          <w:lang w:eastAsia="zh-CN"/>
        </w:rPr>
        <w:t>以及</w:t>
      </w:r>
      <w:r>
        <w:rPr>
          <w:rFonts w:hint="eastAsia" w:ascii="仿宋_GB2312" w:hAnsi="仿宋" w:eastAsia="仿宋_GB2312" w:cs="宋体"/>
          <w:kern w:val="0"/>
          <w:sz w:val="32"/>
          <w:szCs w:val="32"/>
        </w:rPr>
        <w:t>森林蓄积量</w:t>
      </w:r>
      <w:r>
        <w:rPr>
          <w:rFonts w:hint="eastAsia" w:ascii="仿宋_GB2312" w:hAnsi="仿宋" w:eastAsia="仿宋_GB2312" w:cs="宋体"/>
          <w:kern w:val="0"/>
          <w:sz w:val="32"/>
          <w:szCs w:val="32"/>
          <w:lang w:eastAsia="zh-CN"/>
        </w:rPr>
        <w:t>稳步发展</w:t>
      </w:r>
      <w:r>
        <w:rPr>
          <w:rFonts w:hint="eastAsia" w:ascii="仿宋_GB2312" w:hAnsi="仿宋" w:eastAsia="仿宋_GB2312" w:cs="宋体"/>
          <w:kern w:val="0"/>
          <w:sz w:val="32"/>
          <w:szCs w:val="32"/>
        </w:rPr>
        <w:t>。累计争取上级项目资金投入</w:t>
      </w:r>
      <w:r>
        <w:rPr>
          <w:rFonts w:hint="eastAsia" w:ascii="仿宋_GB2312" w:hAnsi="仿宋" w:eastAsia="仿宋_GB2312" w:cs="宋体"/>
          <w:kern w:val="0"/>
          <w:sz w:val="32"/>
          <w:szCs w:val="32"/>
          <w:lang w:val="en-US" w:eastAsia="zh-CN"/>
        </w:rPr>
        <w:t>1.08亿元</w:t>
      </w:r>
      <w:r>
        <w:rPr>
          <w:rFonts w:hint="eastAsia" w:ascii="仿宋_GB2312" w:hAnsi="仿宋" w:eastAsia="仿宋_GB2312" w:cs="宋体"/>
          <w:kern w:val="0"/>
          <w:sz w:val="32"/>
          <w:szCs w:val="32"/>
        </w:rPr>
        <w:t>，为资阳林业的发展注入了强大的推力。现有林地面积</w:t>
      </w:r>
      <w:r>
        <w:rPr>
          <w:rFonts w:hint="eastAsia" w:ascii="仿宋_GB2312" w:hAnsi="仿宋" w:eastAsia="仿宋_GB2312" w:cs="宋体"/>
          <w:kern w:val="0"/>
          <w:sz w:val="32"/>
          <w:szCs w:val="32"/>
          <w:lang w:val="en-US" w:eastAsia="zh-CN"/>
        </w:rPr>
        <w:t>1.58万公顷</w:t>
      </w:r>
      <w:r>
        <w:rPr>
          <w:rFonts w:hint="eastAsia" w:ascii="仿宋_GB2312" w:hAnsi="仿宋" w:eastAsia="仿宋_GB2312" w:cs="宋体"/>
          <w:kern w:val="0"/>
          <w:sz w:val="32"/>
          <w:szCs w:val="32"/>
        </w:rPr>
        <w:t>；森林覆盖率达到</w:t>
      </w:r>
      <w:r>
        <w:rPr>
          <w:rFonts w:hint="eastAsia" w:ascii="仿宋_GB2312" w:hAnsi="仿宋" w:eastAsia="仿宋_GB2312" w:cs="宋体"/>
          <w:kern w:val="0"/>
          <w:sz w:val="32"/>
          <w:szCs w:val="32"/>
          <w:lang w:val="en-US" w:eastAsia="zh-CN"/>
        </w:rPr>
        <w:t>25.9</w:t>
      </w:r>
      <w:r>
        <w:rPr>
          <w:rFonts w:hint="eastAsia" w:ascii="仿宋_GB2312" w:hAnsi="仿宋" w:eastAsia="仿宋_GB2312" w:cs="宋体"/>
          <w:kern w:val="0"/>
          <w:sz w:val="32"/>
          <w:szCs w:val="32"/>
        </w:rPr>
        <w:t>%，增长</w:t>
      </w:r>
      <w:r>
        <w:rPr>
          <w:rFonts w:hint="eastAsia" w:ascii="仿宋_GB2312" w:hAnsi="仿宋" w:eastAsia="仿宋_GB2312" w:cs="宋体"/>
          <w:kern w:val="0"/>
          <w:sz w:val="32"/>
          <w:szCs w:val="32"/>
          <w:lang w:val="en-US" w:eastAsia="zh-CN"/>
        </w:rPr>
        <w:t>1.38</w:t>
      </w:r>
      <w:r>
        <w:rPr>
          <w:rFonts w:hint="eastAsia" w:ascii="仿宋_GB2312" w:hAnsi="仿宋" w:eastAsia="仿宋_GB2312" w:cs="宋体"/>
          <w:kern w:val="0"/>
          <w:sz w:val="32"/>
          <w:szCs w:val="32"/>
        </w:rPr>
        <w:t>个百分点；森林蓄积量已达</w:t>
      </w:r>
      <w:r>
        <w:rPr>
          <w:rFonts w:hint="eastAsia" w:ascii="仿宋_GB2312" w:hAnsi="仿宋" w:eastAsia="仿宋_GB2312" w:cs="宋体"/>
          <w:kern w:val="0"/>
          <w:sz w:val="32"/>
          <w:szCs w:val="32"/>
          <w:lang w:val="en-US" w:eastAsia="zh-CN"/>
        </w:rPr>
        <w:t>123</w:t>
      </w:r>
      <w:r>
        <w:rPr>
          <w:rFonts w:hint="eastAsia" w:ascii="仿宋_GB2312" w:hAnsi="仿宋" w:eastAsia="仿宋_GB2312" w:cs="宋体"/>
          <w:kern w:val="0"/>
          <w:sz w:val="32"/>
          <w:szCs w:val="32"/>
        </w:rPr>
        <w:t>万立方米，净增</w:t>
      </w:r>
      <w:r>
        <w:rPr>
          <w:rFonts w:hint="eastAsia" w:ascii="仿宋_GB2312" w:hAnsi="仿宋" w:eastAsia="仿宋_GB2312" w:cs="宋体"/>
          <w:kern w:val="0"/>
          <w:sz w:val="32"/>
          <w:szCs w:val="32"/>
          <w:lang w:val="en-US" w:eastAsia="zh-CN"/>
        </w:rPr>
        <w:t>20</w:t>
      </w:r>
      <w:r>
        <w:rPr>
          <w:rFonts w:hint="eastAsia" w:ascii="仿宋_GB2312" w:hAnsi="仿宋" w:eastAsia="仿宋_GB2312" w:cs="宋体"/>
          <w:kern w:val="0"/>
          <w:sz w:val="32"/>
          <w:szCs w:val="32"/>
        </w:rPr>
        <w:t>万立方米，增幅为</w:t>
      </w:r>
      <w:r>
        <w:rPr>
          <w:rFonts w:hint="eastAsia" w:ascii="仿宋_GB2312" w:hAnsi="仿宋" w:eastAsia="仿宋_GB2312" w:cs="宋体"/>
          <w:kern w:val="0"/>
          <w:sz w:val="32"/>
          <w:szCs w:val="32"/>
          <w:lang w:val="en-US" w:eastAsia="zh-CN"/>
        </w:rPr>
        <w:t>19</w:t>
      </w:r>
      <w:r>
        <w:rPr>
          <w:rFonts w:hint="eastAsia" w:ascii="仿宋_GB2312" w:hAnsi="仿宋" w:eastAsia="仿宋_GB2312" w:cs="宋体"/>
          <w:kern w:val="0"/>
          <w:sz w:val="32"/>
          <w:szCs w:val="32"/>
        </w:rPr>
        <w:t>%；据统计，至201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rPr>
        <w:t>年底，全区实现林业总产值</w:t>
      </w:r>
      <w:r>
        <w:rPr>
          <w:rFonts w:hint="eastAsia" w:ascii="仿宋_GB2312" w:hAnsi="仿宋" w:eastAsia="仿宋_GB2312" w:cs="宋体"/>
          <w:kern w:val="0"/>
          <w:sz w:val="32"/>
          <w:szCs w:val="32"/>
          <w:lang w:val="en-US" w:eastAsia="zh-CN"/>
        </w:rPr>
        <w:t>21.8</w:t>
      </w:r>
      <w:r>
        <w:rPr>
          <w:rFonts w:hint="eastAsia" w:ascii="仿宋_GB2312" w:hAnsi="仿宋" w:eastAsia="仿宋_GB2312" w:cs="宋体"/>
          <w:kern w:val="0"/>
          <w:sz w:val="32"/>
          <w:szCs w:val="32"/>
        </w:rPr>
        <w:t>亿元，其中第一产业</w:t>
      </w:r>
      <w:r>
        <w:rPr>
          <w:rFonts w:hint="eastAsia" w:ascii="仿宋_GB2312" w:hAnsi="仿宋" w:eastAsia="仿宋_GB2312" w:cs="宋体"/>
          <w:kern w:val="0"/>
          <w:sz w:val="32"/>
          <w:szCs w:val="32"/>
          <w:lang w:val="en-US" w:eastAsia="zh-CN"/>
        </w:rPr>
        <w:t>6.51</w:t>
      </w:r>
      <w:r>
        <w:rPr>
          <w:rFonts w:hint="eastAsia" w:ascii="仿宋_GB2312" w:hAnsi="仿宋" w:eastAsia="仿宋_GB2312" w:cs="宋体"/>
          <w:kern w:val="0"/>
          <w:sz w:val="32"/>
          <w:szCs w:val="32"/>
        </w:rPr>
        <w:t>亿元，第二产业</w:t>
      </w:r>
      <w:r>
        <w:rPr>
          <w:rFonts w:hint="eastAsia" w:ascii="仿宋_GB2312" w:hAnsi="仿宋" w:eastAsia="仿宋_GB2312" w:cs="宋体"/>
          <w:kern w:val="0"/>
          <w:sz w:val="32"/>
          <w:szCs w:val="32"/>
          <w:lang w:val="en-US" w:eastAsia="zh-CN"/>
        </w:rPr>
        <w:t>11.45亿元，第三产业3.92亿元，达到2014年底的2倍。其中，花卉苗木产业已列入“一县一特”产业板块，集中分布在迎风桥镇及长春镇两个乡镇，2019年底花卉苗木产业面积达到23000亩，比2014年翻了一番。2019年实现林业总产值21.8亿元，与2014年相比增加了6.03亿元，增长了56%，新增省级龙头企业3家，龙头企业的发展带动了农村林业产业的连接链。</w:t>
      </w:r>
    </w:p>
    <w:p>
      <w:pPr>
        <w:pStyle w:val="3"/>
        <w:numPr>
          <w:ilvl w:val="1"/>
          <w:numId w:val="0"/>
        </w:numPr>
        <w:bidi w:val="0"/>
        <w:rPr>
          <w:rFonts w:hint="eastAsia"/>
          <w:sz w:val="36"/>
          <w:szCs w:val="36"/>
          <w:lang w:val="en-US" w:eastAsia="zh-CN"/>
        </w:rPr>
      </w:pPr>
      <w:bookmarkStart w:id="2" w:name="_Toc15541"/>
      <w:r>
        <w:rPr>
          <w:rFonts w:hint="eastAsia"/>
          <w:sz w:val="36"/>
          <w:szCs w:val="36"/>
          <w:lang w:val="en-US" w:eastAsia="zh-CN"/>
        </w:rPr>
        <w:t>1.2 存在的问题与不足</w:t>
      </w:r>
      <w:bookmarkEnd w:id="2"/>
    </w:p>
    <w:p>
      <w:pPr>
        <w:pageBreakBefore w:val="0"/>
        <w:numPr>
          <w:ilvl w:val="0"/>
          <w:numId w:val="0"/>
        </w:numPr>
        <w:kinsoku/>
        <w:wordWrap/>
        <w:overflowPunct/>
        <w:topLinePunct w:val="0"/>
        <w:autoSpaceDE w:val="0"/>
        <w:autoSpaceDN w:val="0"/>
        <w:bidi w:val="0"/>
        <w:adjustRightInd w:val="0"/>
        <w:snapToGrid/>
        <w:spacing w:line="520" w:lineRule="exact"/>
        <w:ind w:leftChars="0" w:firstLine="640" w:firstLineChars="200"/>
        <w:textAlignment w:val="auto"/>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（1）林业</w:t>
      </w:r>
      <w:r>
        <w:rPr>
          <w:rFonts w:hint="eastAsia" w:ascii="仿宋_GB2312" w:hAnsi="仿宋" w:eastAsia="仿宋_GB2312" w:cs="宋体"/>
          <w:color w:val="000000" w:themeColor="text1"/>
          <w:kern w:val="0"/>
          <w:sz w:val="32"/>
          <w:szCs w:val="32"/>
          <w:lang w:eastAsia="zh-CN"/>
          <w14:textFill>
            <w14:solidFill>
              <w14:schemeClr w14:val="tx1"/>
            </w14:solidFill>
          </w14:textFill>
        </w:rPr>
        <w:t>产业</w:t>
      </w:r>
      <w:r>
        <w:rPr>
          <w:rFonts w:hint="eastAsia" w:ascii="仿宋_GB2312" w:hAnsi="仿宋" w:eastAsia="仿宋_GB2312" w:cs="宋体"/>
          <w:color w:val="000000" w:themeColor="text1"/>
          <w:kern w:val="0"/>
          <w:sz w:val="32"/>
          <w:szCs w:val="32"/>
          <w14:textFill>
            <w14:solidFill>
              <w14:schemeClr w14:val="tx1"/>
            </w14:solidFill>
          </w14:textFill>
        </w:rPr>
        <w:t>规模</w:t>
      </w:r>
      <w:r>
        <w:rPr>
          <w:rFonts w:hint="eastAsia" w:ascii="仿宋_GB2312" w:hAnsi="仿宋" w:eastAsia="仿宋_GB2312" w:cs="宋体"/>
          <w:color w:val="000000" w:themeColor="text1"/>
          <w:kern w:val="0"/>
          <w:sz w:val="32"/>
          <w:szCs w:val="32"/>
          <w:lang w:eastAsia="zh-CN"/>
          <w14:textFill>
            <w14:solidFill>
              <w14:schemeClr w14:val="tx1"/>
            </w14:solidFill>
          </w14:textFill>
        </w:rPr>
        <w:t>较</w:t>
      </w:r>
      <w:r>
        <w:rPr>
          <w:rFonts w:hint="eastAsia" w:ascii="仿宋_GB2312" w:hAnsi="仿宋" w:eastAsia="仿宋_GB2312" w:cs="宋体"/>
          <w:color w:val="000000" w:themeColor="text1"/>
          <w:kern w:val="0"/>
          <w:sz w:val="32"/>
          <w:szCs w:val="32"/>
          <w14:textFill>
            <w14:solidFill>
              <w14:schemeClr w14:val="tx1"/>
            </w14:solidFill>
          </w14:textFill>
        </w:rPr>
        <w:t>小</w:t>
      </w:r>
      <w:r>
        <w:rPr>
          <w:rFonts w:hint="eastAsia" w:ascii="仿宋_GB2312" w:hAnsi="仿宋" w:eastAsia="仿宋_GB2312" w:cs="宋体"/>
          <w:color w:val="000000" w:themeColor="text1"/>
          <w:kern w:val="0"/>
          <w:sz w:val="32"/>
          <w:szCs w:val="32"/>
          <w:lang w:eastAsia="zh-CN"/>
          <w14:textFill>
            <w14:solidFill>
              <w14:schemeClr w14:val="tx1"/>
            </w14:solidFill>
          </w14:textFill>
        </w:rPr>
        <w:t>，管理水平不高，资金制约因素较大，基础条件不足</w:t>
      </w:r>
      <w:r>
        <w:rPr>
          <w:rFonts w:hint="eastAsia" w:ascii="仿宋_GB2312" w:hAnsi="仿宋" w:eastAsia="仿宋_GB2312" w:cs="宋体"/>
          <w:color w:val="000000" w:themeColor="text1"/>
          <w:kern w:val="0"/>
          <w:sz w:val="32"/>
          <w:szCs w:val="32"/>
          <w14:textFill>
            <w14:solidFill>
              <w14:schemeClr w14:val="tx1"/>
            </w14:solidFill>
          </w14:textFill>
        </w:rPr>
        <w:t>。</w:t>
      </w:r>
    </w:p>
    <w:p>
      <w:pPr>
        <w:pageBreakBefore w:val="0"/>
        <w:numPr>
          <w:ilvl w:val="0"/>
          <w:numId w:val="0"/>
        </w:numPr>
        <w:kinsoku/>
        <w:wordWrap/>
        <w:overflowPunct/>
        <w:topLinePunct w:val="0"/>
        <w:autoSpaceDE w:val="0"/>
        <w:autoSpaceDN w:val="0"/>
        <w:bidi w:val="0"/>
        <w:adjustRightInd w:val="0"/>
        <w:snapToGrid/>
        <w:spacing w:line="520" w:lineRule="exact"/>
        <w:ind w:leftChars="0" w:firstLine="640" w:firstLineChars="200"/>
        <w:textAlignment w:val="auto"/>
        <w:rPr>
          <w:rFonts w:hint="eastAsia" w:ascii="仿宋_GB2312" w:hAnsi="仿宋" w:eastAsia="仿宋_GB2312" w:cs="宋体"/>
          <w:color w:val="000000" w:themeColor="text1"/>
          <w:kern w:val="0"/>
          <w:sz w:val="32"/>
          <w:szCs w:val="32"/>
          <w:lang w:val="zh-CN"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（2）群众对湿地保护意识不强</w:t>
      </w:r>
      <w:r>
        <w:rPr>
          <w:rFonts w:hint="eastAsia" w:ascii="仿宋_GB2312" w:hAnsi="仿宋" w:eastAsia="仿宋_GB2312" w:cs="宋体"/>
          <w:color w:val="000000" w:themeColor="text1"/>
          <w:kern w:val="0"/>
          <w:sz w:val="32"/>
          <w:szCs w:val="32"/>
          <w:lang w:val="zh-CN" w:eastAsia="zh-CN"/>
          <w14:textFill>
            <w14:solidFill>
              <w14:schemeClr w14:val="tx1"/>
            </w14:solidFill>
          </w14:textFill>
        </w:rPr>
        <w:t>。部分</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群众</w:t>
      </w:r>
      <w:r>
        <w:rPr>
          <w:rFonts w:hint="eastAsia" w:ascii="仿宋_GB2312" w:hAnsi="仿宋" w:eastAsia="仿宋_GB2312" w:cs="宋体"/>
          <w:color w:val="000000" w:themeColor="text1"/>
          <w:kern w:val="0"/>
          <w:sz w:val="32"/>
          <w:szCs w:val="32"/>
          <w:lang w:val="zh-CN" w:eastAsia="zh-CN"/>
          <w14:textFill>
            <w14:solidFill>
              <w14:schemeClr w14:val="tx1"/>
            </w14:solidFill>
          </w14:textFill>
        </w:rPr>
        <w:t>对湿地保护的认识不足、</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理解</w:t>
      </w:r>
      <w:r>
        <w:rPr>
          <w:rFonts w:hint="eastAsia" w:ascii="仿宋_GB2312" w:hAnsi="仿宋" w:eastAsia="仿宋_GB2312" w:cs="宋体"/>
          <w:color w:val="000000" w:themeColor="text1"/>
          <w:kern w:val="0"/>
          <w:sz w:val="32"/>
          <w:szCs w:val="32"/>
          <w:lang w:val="zh-CN" w:eastAsia="zh-CN"/>
          <w14:textFill>
            <w14:solidFill>
              <w14:schemeClr w14:val="tx1"/>
            </w14:solidFill>
          </w14:textFill>
        </w:rPr>
        <w:t>不够。</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虽然近年来通过宣传有所好转</w:t>
      </w:r>
      <w:r>
        <w:rPr>
          <w:rFonts w:hint="eastAsia" w:ascii="仿宋_GB2312" w:hAnsi="仿宋" w:eastAsia="仿宋_GB2312" w:cs="宋体"/>
          <w:color w:val="000000" w:themeColor="text1"/>
          <w:kern w:val="0"/>
          <w:sz w:val="32"/>
          <w:szCs w:val="32"/>
          <w:lang w:val="zh-CN" w:eastAsia="zh-CN"/>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但部分群众</w:t>
      </w:r>
      <w:r>
        <w:rPr>
          <w:rFonts w:hint="eastAsia" w:ascii="仿宋_GB2312" w:hAnsi="仿宋" w:eastAsia="仿宋_GB2312" w:cs="宋体"/>
          <w:color w:val="000000" w:themeColor="text1"/>
          <w:kern w:val="0"/>
          <w:sz w:val="32"/>
          <w:szCs w:val="32"/>
          <w:lang w:val="zh-CN" w:eastAsia="zh-CN"/>
          <w14:textFill>
            <w14:solidFill>
              <w14:schemeClr w14:val="tx1"/>
            </w14:solidFill>
          </w14:textFill>
        </w:rPr>
        <w:t>对湿地的生态效应重要性认识还需要进一步加强，对湿地保护与恢复工程带来了不利影响。</w:t>
      </w:r>
    </w:p>
    <w:p>
      <w:pPr>
        <w:pageBreakBefore w:val="0"/>
        <w:numPr>
          <w:ilvl w:val="0"/>
          <w:numId w:val="0"/>
        </w:numPr>
        <w:kinsoku/>
        <w:wordWrap/>
        <w:overflowPunct/>
        <w:topLinePunct w:val="0"/>
        <w:autoSpaceDE w:val="0"/>
        <w:autoSpaceDN w:val="0"/>
        <w:bidi w:val="0"/>
        <w:adjustRightInd w:val="0"/>
        <w:snapToGrid/>
        <w:spacing w:line="520" w:lineRule="exact"/>
        <w:ind w:leftChars="0"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zh-CN" w:eastAsia="zh-CN"/>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3</w:t>
      </w:r>
      <w:r>
        <w:rPr>
          <w:rFonts w:hint="eastAsia" w:ascii="仿宋_GB2312" w:hAnsi="仿宋" w:eastAsia="仿宋_GB2312" w:cs="宋体"/>
          <w:color w:val="000000" w:themeColor="text1"/>
          <w:kern w:val="0"/>
          <w:sz w:val="32"/>
          <w:szCs w:val="32"/>
          <w:lang w:val="zh-CN" w:eastAsia="zh-CN"/>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洪涝灾害破坏湿地项目建设成效。近几年，湖南连续遭受连续暴雨，各内湖和沟渠水位较高，黄家湖国家湿地公园、南洞庭湖保护区及大部分湿地，地势低洼，洪涝灾害对已建设完成的湿地植被修复等工程带来了负面影响。</w:t>
      </w:r>
    </w:p>
    <w:p>
      <w:pPr>
        <w:pageBreakBefore w:val="0"/>
        <w:numPr>
          <w:ilvl w:val="0"/>
          <w:numId w:val="0"/>
        </w:numPr>
        <w:kinsoku/>
        <w:wordWrap/>
        <w:overflowPunct/>
        <w:topLinePunct w:val="0"/>
        <w:autoSpaceDE w:val="0"/>
        <w:autoSpaceDN w:val="0"/>
        <w:bidi w:val="0"/>
        <w:adjustRightInd w:val="0"/>
        <w:snapToGrid/>
        <w:spacing w:line="520" w:lineRule="exact"/>
        <w:ind w:leftChars="0"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4）可持续发展面临挑战。2017年以来，对南洞庭湖省级自然保护区矮围网围整治、欧美黑杨退出、黄家湖水质提升等重点工作投入大量的人力和财力，在湿地公园基础建设、保护区生态修复等方面后续投入相对资金不足，影响总体可持续发展。</w:t>
      </w:r>
    </w:p>
    <w:p>
      <w:pPr>
        <w:pStyle w:val="2"/>
        <w:bidi w:val="0"/>
        <w:rPr>
          <w:rFonts w:hint="eastAsia"/>
          <w:lang w:val="en-US" w:eastAsia="zh-CN"/>
        </w:rPr>
      </w:pPr>
      <w:bookmarkStart w:id="3" w:name="_Toc25945"/>
      <w:r>
        <w:rPr>
          <w:rFonts w:hint="eastAsia"/>
          <w:lang w:val="en-US" w:eastAsia="zh-CN"/>
        </w:rPr>
        <w:t>2 “十四五”规划展望</w:t>
      </w:r>
      <w:bookmarkEnd w:id="3"/>
    </w:p>
    <w:p>
      <w:pPr>
        <w:pStyle w:val="3"/>
        <w:numPr>
          <w:ilvl w:val="1"/>
          <w:numId w:val="0"/>
        </w:numPr>
        <w:bidi w:val="0"/>
        <w:rPr>
          <w:rFonts w:hint="default"/>
          <w:sz w:val="36"/>
          <w:szCs w:val="36"/>
          <w:lang w:val="en-US" w:eastAsia="zh-CN"/>
        </w:rPr>
      </w:pPr>
      <w:bookmarkStart w:id="4" w:name="_Toc3043"/>
      <w:r>
        <w:rPr>
          <w:rFonts w:hint="eastAsia"/>
          <w:sz w:val="36"/>
          <w:szCs w:val="36"/>
          <w:lang w:val="en-US" w:eastAsia="zh-CN"/>
        </w:rPr>
        <w:t>2.1 指导思想</w:t>
      </w:r>
      <w:bookmarkEnd w:id="4"/>
    </w:p>
    <w:p>
      <w:pPr>
        <w:pageBreakBefore w:val="0"/>
        <w:numPr>
          <w:ilvl w:val="0"/>
          <w:numId w:val="0"/>
        </w:numPr>
        <w:kinsoku/>
        <w:wordWrap/>
        <w:overflowPunct/>
        <w:topLinePunct w:val="0"/>
        <w:autoSpaceDE w:val="0"/>
        <w:autoSpaceDN w:val="0"/>
        <w:bidi w:val="0"/>
        <w:adjustRightInd w:val="0"/>
        <w:snapToGrid/>
        <w:spacing w:line="520" w:lineRule="exact"/>
        <w:ind w:leftChars="0"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以习近平生态文明思想为指导，践行“绿水青山就是金山银山”的理念，深入推进生态文明建设。全面加强洞庭湖、黄家湖湿地生态保护修复，积极开展大规模国土绿化行动，着力推进绿色生态富民林业产业发展，绘就资阳林业高质量发展蓝图。</w:t>
      </w:r>
    </w:p>
    <w:p>
      <w:pPr>
        <w:pStyle w:val="3"/>
        <w:numPr>
          <w:ilvl w:val="1"/>
          <w:numId w:val="0"/>
        </w:numPr>
        <w:bidi w:val="0"/>
        <w:rPr>
          <w:rFonts w:hint="eastAsia"/>
          <w:sz w:val="36"/>
          <w:szCs w:val="36"/>
          <w:lang w:val="en-US" w:eastAsia="zh-CN"/>
        </w:rPr>
      </w:pPr>
      <w:bookmarkStart w:id="5" w:name="_Toc9171"/>
      <w:r>
        <w:rPr>
          <w:rFonts w:hint="eastAsia"/>
          <w:sz w:val="36"/>
          <w:szCs w:val="36"/>
          <w:lang w:val="en-US" w:eastAsia="zh-CN"/>
        </w:rPr>
        <w:t>2.2 规划原则</w:t>
      </w:r>
      <w:bookmarkEnd w:id="5"/>
    </w:p>
    <w:p>
      <w:pPr>
        <w:pageBreakBefore w:val="0"/>
        <w:numPr>
          <w:ilvl w:val="0"/>
          <w:numId w:val="0"/>
        </w:numPr>
        <w:kinsoku/>
        <w:wordWrap/>
        <w:overflowPunct/>
        <w:topLinePunct w:val="0"/>
        <w:autoSpaceDE w:val="0"/>
        <w:autoSpaceDN w:val="0"/>
        <w:bidi w:val="0"/>
        <w:adjustRightInd w:val="0"/>
        <w:snapToGrid/>
        <w:spacing w:line="520" w:lineRule="exact"/>
        <w:ind w:leftChars="0"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1、坚持实事求是与创新发展相统筹原则。</w:t>
      </w:r>
    </w:p>
    <w:p>
      <w:pPr>
        <w:pageBreakBefore w:val="0"/>
        <w:numPr>
          <w:ilvl w:val="0"/>
          <w:numId w:val="0"/>
        </w:numPr>
        <w:kinsoku/>
        <w:wordWrap/>
        <w:overflowPunct/>
        <w:topLinePunct w:val="0"/>
        <w:autoSpaceDE w:val="0"/>
        <w:autoSpaceDN w:val="0"/>
        <w:bidi w:val="0"/>
        <w:adjustRightInd w:val="0"/>
        <w:snapToGrid/>
        <w:spacing w:line="520" w:lineRule="exact"/>
        <w:ind w:leftChars="0"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2、坚持全面谋划与突出重点相协调原则。</w:t>
      </w:r>
    </w:p>
    <w:p>
      <w:pPr>
        <w:pageBreakBefore w:val="0"/>
        <w:numPr>
          <w:ilvl w:val="0"/>
          <w:numId w:val="0"/>
        </w:numPr>
        <w:kinsoku/>
        <w:wordWrap/>
        <w:overflowPunct/>
        <w:topLinePunct w:val="0"/>
        <w:autoSpaceDE w:val="0"/>
        <w:autoSpaceDN w:val="0"/>
        <w:bidi w:val="0"/>
        <w:adjustRightInd w:val="0"/>
        <w:snapToGrid/>
        <w:spacing w:line="520" w:lineRule="exact"/>
        <w:ind w:leftChars="0"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3、坚持高标准高质量与可操作性相统一原则。</w:t>
      </w:r>
    </w:p>
    <w:p>
      <w:pPr>
        <w:pageBreakBefore w:val="0"/>
        <w:numPr>
          <w:ilvl w:val="0"/>
          <w:numId w:val="0"/>
        </w:numPr>
        <w:kinsoku/>
        <w:wordWrap/>
        <w:overflowPunct/>
        <w:topLinePunct w:val="0"/>
        <w:autoSpaceDE w:val="0"/>
        <w:autoSpaceDN w:val="0"/>
        <w:bidi w:val="0"/>
        <w:adjustRightInd w:val="0"/>
        <w:snapToGrid/>
        <w:spacing w:line="520" w:lineRule="exact"/>
        <w:ind w:leftChars="0" w:firstLine="640" w:firstLineChars="200"/>
        <w:textAlignment w:val="auto"/>
        <w:rPr>
          <w:rFonts w:hint="default"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4、坚持政府主导和社会参与相结合原则。</w:t>
      </w:r>
    </w:p>
    <w:p>
      <w:pPr>
        <w:pStyle w:val="3"/>
        <w:numPr>
          <w:ilvl w:val="1"/>
          <w:numId w:val="0"/>
        </w:numPr>
        <w:bidi w:val="0"/>
        <w:rPr>
          <w:rFonts w:hint="eastAsia"/>
          <w:sz w:val="36"/>
          <w:szCs w:val="36"/>
          <w:lang w:val="en-US" w:eastAsia="zh-CN"/>
        </w:rPr>
      </w:pPr>
      <w:bookmarkStart w:id="6" w:name="_Toc12941"/>
      <w:r>
        <w:rPr>
          <w:rFonts w:hint="eastAsia"/>
          <w:sz w:val="36"/>
          <w:szCs w:val="36"/>
          <w:lang w:val="en-US" w:eastAsia="zh-CN"/>
        </w:rPr>
        <w:t>2.3 发展目标</w:t>
      </w:r>
      <w:bookmarkEnd w:id="6"/>
    </w:p>
    <w:p>
      <w:pPr>
        <w:pStyle w:val="4"/>
        <w:bidi w:val="0"/>
        <w:rPr>
          <w:rFonts w:hint="eastAsia"/>
          <w:lang w:val="en-US" w:eastAsia="zh-CN"/>
        </w:rPr>
      </w:pPr>
      <w:bookmarkStart w:id="7" w:name="_Toc22319"/>
      <w:r>
        <w:rPr>
          <w:rFonts w:hint="eastAsia"/>
          <w:lang w:val="en-US" w:eastAsia="zh-CN"/>
        </w:rPr>
        <w:t>2.3.1 森林资源</w:t>
      </w:r>
      <w:bookmarkEnd w:id="7"/>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color w:val="000000" w:themeColor="text1"/>
          <w:kern w:val="0"/>
          <w:sz w:val="32"/>
          <w:szCs w:val="32"/>
          <w14:textFill>
            <w14:solidFill>
              <w14:schemeClr w14:val="tx1"/>
            </w14:solidFill>
          </w14:textFill>
        </w:rPr>
        <w:t>全区林地面积稳定在24万亩以上，森林覆盖率达到</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26</w:t>
      </w:r>
      <w:r>
        <w:rPr>
          <w:rFonts w:hint="eastAsia" w:ascii="仿宋_GB2312" w:hAnsi="仿宋" w:eastAsia="仿宋_GB2312" w:cs="宋体"/>
          <w:color w:val="000000" w:themeColor="text1"/>
          <w:kern w:val="0"/>
          <w:sz w:val="32"/>
          <w:szCs w:val="32"/>
          <w14:textFill>
            <w14:solidFill>
              <w14:schemeClr w14:val="tx1"/>
            </w14:solidFill>
          </w14:textFill>
        </w:rPr>
        <w:t>%，森林蓄积量达到</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152</w:t>
      </w:r>
      <w:r>
        <w:rPr>
          <w:rFonts w:hint="eastAsia" w:ascii="仿宋_GB2312" w:hAnsi="仿宋" w:eastAsia="仿宋_GB2312" w:cs="宋体"/>
          <w:color w:val="000000" w:themeColor="text1"/>
          <w:kern w:val="0"/>
          <w:sz w:val="32"/>
          <w:szCs w:val="32"/>
          <w14:textFill>
            <w14:solidFill>
              <w14:schemeClr w14:val="tx1"/>
            </w14:solidFill>
          </w14:textFill>
        </w:rPr>
        <w:t>万立方米，</w:t>
      </w:r>
      <w:r>
        <w:rPr>
          <w:rFonts w:hint="eastAsia" w:ascii="仿宋_GB2312" w:hAnsi="仿宋" w:eastAsia="仿宋_GB2312" w:cs="宋体"/>
          <w:color w:val="000000" w:themeColor="text1"/>
          <w:kern w:val="0"/>
          <w:sz w:val="32"/>
          <w:szCs w:val="32"/>
          <w:lang w:eastAsia="zh-CN"/>
          <w14:textFill>
            <w14:solidFill>
              <w14:schemeClr w14:val="tx1"/>
            </w14:solidFill>
          </w14:textFill>
        </w:rPr>
        <w:t>省级</w:t>
      </w:r>
      <w:r>
        <w:rPr>
          <w:rFonts w:hint="eastAsia" w:ascii="仿宋_GB2312" w:hAnsi="仿宋" w:eastAsia="仿宋_GB2312" w:cs="宋体"/>
          <w:kern w:val="0"/>
          <w:sz w:val="32"/>
          <w:szCs w:val="32"/>
          <w:lang w:eastAsia="zh-CN"/>
        </w:rPr>
        <w:t>以上重点生态公益林保有量达到</w:t>
      </w:r>
      <w:r>
        <w:rPr>
          <w:rFonts w:hint="eastAsia" w:ascii="仿宋_GB2312" w:hAnsi="仿宋" w:eastAsia="仿宋_GB2312" w:cs="宋体"/>
          <w:kern w:val="0"/>
          <w:sz w:val="32"/>
          <w:szCs w:val="32"/>
          <w:lang w:val="en-US" w:eastAsia="zh-CN"/>
        </w:rPr>
        <w:t>1511.8公顷，</w:t>
      </w:r>
      <w:r>
        <w:rPr>
          <w:rFonts w:hint="eastAsia" w:ascii="仿宋_GB2312" w:hAnsi="仿宋" w:eastAsia="仿宋_GB2312" w:cs="宋体"/>
          <w:kern w:val="0"/>
          <w:sz w:val="32"/>
          <w:szCs w:val="32"/>
          <w:lang w:eastAsia="zh-CN"/>
        </w:rPr>
        <w:t>森林碳汇储量达到</w:t>
      </w:r>
      <w:r>
        <w:rPr>
          <w:rFonts w:hint="eastAsia" w:ascii="仿宋_GB2312" w:hAnsi="仿宋" w:eastAsia="仿宋_GB2312" w:cs="宋体"/>
          <w:kern w:val="0"/>
          <w:sz w:val="32"/>
          <w:szCs w:val="32"/>
          <w:lang w:val="en-US" w:eastAsia="zh-CN"/>
        </w:rPr>
        <w:t>280万吨。</w:t>
      </w:r>
    </w:p>
    <w:p>
      <w:pPr>
        <w:pStyle w:val="4"/>
        <w:bidi w:val="0"/>
        <w:rPr>
          <w:rFonts w:hint="eastAsia"/>
          <w:lang w:val="en-US" w:eastAsia="zh-CN"/>
        </w:rPr>
      </w:pPr>
      <w:bookmarkStart w:id="8" w:name="_Toc14726"/>
      <w:r>
        <w:rPr>
          <w:rFonts w:hint="eastAsia"/>
          <w:lang w:val="en-US" w:eastAsia="zh-CN"/>
        </w:rPr>
        <w:t>2.3.2 “双碳”目标</w:t>
      </w:r>
      <w:bookmarkEnd w:id="8"/>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持续巩固提升林草碳汇能力，全力助推“双碳”战略目标实现。一是认真落实《全国重要生态系统生态保护和修复重大工程总体规划（2021—2035年）》和《“十四五”林业草原保护发展规划纲要》确定的国土绿化目标任务，推进以国家公园为主体的自然保护地体系建设，开展全民义务植树，通过多种形式增绿增汇。二是实施森林质量精准提升工程，调整优化林分结构，增加混交林比例，推行以增强碳汇能力为目的的森林经营模式。加强中幼林抚育和退化林修复，加大人工林改造力度，倡导多功能森林经营，持续提高森林生态系统质量和稳定性。三是全面保护森林、草地、泥炭湿地及沙区植被，加强森林防火和有害生物防治，严厉打击破坏林草湿资源的违法行为，减少毁林毁草毁湿造成的碳排放。四是开展能源林培育改造，加强科技攻关，扶持龙头企业，推进林业生物质能源发展。定向培育利用优质木竹资源，提升木竹材料质量和稳定性，拓展木竹在建筑领域的应用。</w:t>
      </w:r>
    </w:p>
    <w:p>
      <w:pPr>
        <w:pStyle w:val="4"/>
        <w:bidi w:val="0"/>
        <w:rPr>
          <w:rFonts w:hint="eastAsia"/>
          <w:lang w:val="en-US" w:eastAsia="zh-CN"/>
        </w:rPr>
      </w:pPr>
      <w:bookmarkStart w:id="9" w:name="_Toc6586"/>
      <w:r>
        <w:rPr>
          <w:rFonts w:hint="eastAsia"/>
          <w:lang w:val="en-US" w:eastAsia="zh-CN"/>
        </w:rPr>
        <w:t>2.3.3 林业产业产值</w:t>
      </w:r>
      <w:bookmarkEnd w:id="9"/>
    </w:p>
    <w:p>
      <w:pPr>
        <w:pageBreakBefore w:val="0"/>
        <w:numPr>
          <w:ilvl w:val="0"/>
          <w:numId w:val="0"/>
        </w:numPr>
        <w:kinsoku/>
        <w:wordWrap/>
        <w:overflowPunct/>
        <w:topLinePunct w:val="0"/>
        <w:bidi w:val="0"/>
        <w:snapToGrid/>
        <w:spacing w:line="52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 xml:space="preserve">全区林业总产值实现24亿元，林下经济发展达3万亩。     </w:t>
      </w:r>
    </w:p>
    <w:p>
      <w:pPr>
        <w:pageBreakBefore w:val="0"/>
        <w:numPr>
          <w:ilvl w:val="0"/>
          <w:numId w:val="0"/>
        </w:numPr>
        <w:kinsoku/>
        <w:wordWrap/>
        <w:overflowPunct/>
        <w:topLinePunct w:val="0"/>
        <w:bidi w:val="0"/>
        <w:snapToGrid/>
        <w:spacing w:line="52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1、充分利用全区林地资源，以新桥河镇和长春镇为重点，结合林业重点工程建设，采用良种良法，加快高产良种油茶林基地建设，提高油茶产量，着力打造林油一体化产业，实现年产值400万元以上。</w:t>
      </w:r>
    </w:p>
    <w:p>
      <w:pPr>
        <w:pageBreakBefore w:val="0"/>
        <w:numPr>
          <w:ilvl w:val="0"/>
          <w:numId w:val="0"/>
        </w:numPr>
        <w:kinsoku/>
        <w:wordWrap/>
        <w:overflowPunct/>
        <w:topLinePunct w:val="0"/>
        <w:bidi w:val="0"/>
        <w:snapToGrid/>
        <w:spacing w:line="52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2、充分利用林业千亿产业发展规划，努力发展森林旅游和康养、油茶、竹木加工、木槿产业，实现园区以点带面、农村经营大户以“基地+农户+合作社”的方式实现全区林业经济提高和林农增收。</w:t>
      </w:r>
    </w:p>
    <w:p>
      <w:pPr>
        <w:pageBreakBefore w:val="0"/>
        <w:numPr>
          <w:ilvl w:val="0"/>
          <w:numId w:val="0"/>
        </w:numPr>
        <w:kinsoku/>
        <w:wordWrap/>
        <w:overflowPunct/>
        <w:topLinePunct w:val="0"/>
        <w:bidi w:val="0"/>
        <w:snapToGrid/>
        <w:spacing w:line="520" w:lineRule="exact"/>
        <w:ind w:firstLine="640" w:firstLineChars="200"/>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3、持续推进“木槿”品牌建设，延伸产业链条，进行木槿花苗培育、花叶收购及产品开发，打造木槿菜园、木槿示范小组、木槿扦插基地，将普普通通的木槿实现观赏价值、经济价值和品牌价值的统一。</w:t>
      </w:r>
    </w:p>
    <w:p>
      <w:pPr>
        <w:pStyle w:val="4"/>
        <w:bidi w:val="0"/>
        <w:rPr>
          <w:rFonts w:hint="eastAsia"/>
          <w:lang w:val="en-US" w:eastAsia="zh-CN"/>
        </w:rPr>
      </w:pPr>
      <w:bookmarkStart w:id="10" w:name="_Toc15271"/>
      <w:r>
        <w:rPr>
          <w:rFonts w:hint="eastAsia"/>
          <w:lang w:val="en-US" w:eastAsia="zh-CN"/>
        </w:rPr>
        <w:t>2.3.4 湿地保护</w:t>
      </w:r>
      <w:bookmarkEnd w:id="10"/>
    </w:p>
    <w:p>
      <w:pPr>
        <w:spacing w:line="520" w:lineRule="exact"/>
        <w:ind w:firstLine="640" w:firstLineChars="200"/>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按照“全面保护、科学修复、合理利用、持续发展”的基本原则。通过对湖南黄家湖国家湿地公园、湖南南洞庭湖省级自然保护区重点建设，以点带面促进全区河流、湖泊、水库等湿地保护与修复工作。全面谋划、精心保证一批项目，打造新时代洞庭湖生态经济区，带动南洞庭湖自然保护区周边生态旅游等行业的发展。</w:t>
      </w:r>
    </w:p>
    <w:p>
      <w:pPr>
        <w:spacing w:line="520" w:lineRule="exact"/>
        <w:ind w:firstLine="640" w:firstLineChars="200"/>
        <w:rPr>
          <w:rFonts w:hint="default" w:ascii="仿宋_GB2312" w:hAnsi="仿宋" w:eastAsia="仿宋_GB2312" w:cs="宋体"/>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default" w:ascii="仿宋_GB2312" w:hAnsi="仿宋" w:eastAsia="仿宋_GB2312" w:cs="宋体"/>
          <w:color w:val="000000" w:themeColor="text1"/>
          <w:kern w:val="0"/>
          <w:sz w:val="32"/>
          <w:szCs w:val="32"/>
          <w:lang w:val="en-US" w:eastAsia="zh-CN"/>
          <w14:textFill>
            <w14:solidFill>
              <w14:schemeClr w14:val="tx1"/>
            </w14:solidFill>
          </w14:textFill>
        </w:rPr>
        <w:t>保护和恢复</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南洞庭湖</w:t>
      </w:r>
      <w:r>
        <w:rPr>
          <w:rFonts w:hint="default" w:ascii="仿宋_GB2312" w:hAnsi="仿宋" w:eastAsia="仿宋_GB2312" w:cs="宋体"/>
          <w:color w:val="000000" w:themeColor="text1"/>
          <w:kern w:val="0"/>
          <w:sz w:val="32"/>
          <w:szCs w:val="32"/>
          <w:lang w:val="en-US" w:eastAsia="zh-CN"/>
          <w14:textFill>
            <w14:solidFill>
              <w14:schemeClr w14:val="tx1"/>
            </w14:solidFill>
          </w14:textFill>
        </w:rPr>
        <w:t>独特的湿地生态系统及其生物多样性。保护和扩大湿地面积，恢复湿地生态系统，维护南洞庭湖湿地生态系统的生态特性和基本功能，提升南洞庭湖湿地在国际上的地位和影响力，保持和最大限度地发挥南洞庭湖湿地生态系统的各种功能和效益，为区域发展提供生态服务。加强湿地生态的恢复</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性建设</w:t>
      </w:r>
      <w:r>
        <w:rPr>
          <w:rFonts w:hint="default" w:ascii="仿宋_GB2312" w:hAnsi="仿宋" w:eastAsia="仿宋_GB2312" w:cs="宋体"/>
          <w:color w:val="000000" w:themeColor="text1"/>
          <w:kern w:val="0"/>
          <w:sz w:val="32"/>
          <w:szCs w:val="32"/>
          <w:lang w:val="en-US" w:eastAsia="zh-CN"/>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为</w:t>
      </w:r>
      <w:r>
        <w:rPr>
          <w:rFonts w:hint="default" w:ascii="仿宋_GB2312" w:hAnsi="仿宋" w:eastAsia="仿宋_GB2312" w:cs="宋体"/>
          <w:color w:val="000000" w:themeColor="text1"/>
          <w:kern w:val="0"/>
          <w:sz w:val="32"/>
          <w:szCs w:val="32"/>
          <w:lang w:val="en-US" w:eastAsia="zh-CN"/>
          <w14:textFill>
            <w14:solidFill>
              <w14:schemeClr w14:val="tx1"/>
            </w14:solidFill>
          </w14:textFill>
        </w:rPr>
        <w:t>越冬水鸟</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创造良好的</w:t>
      </w:r>
      <w:r>
        <w:rPr>
          <w:rFonts w:hint="default" w:ascii="仿宋_GB2312" w:hAnsi="仿宋" w:eastAsia="仿宋_GB2312" w:cs="宋体"/>
          <w:color w:val="000000" w:themeColor="text1"/>
          <w:kern w:val="0"/>
          <w:sz w:val="32"/>
          <w:szCs w:val="32"/>
          <w:lang w:val="en-US" w:eastAsia="zh-CN"/>
          <w14:textFill>
            <w14:solidFill>
              <w14:schemeClr w14:val="tx1"/>
            </w14:solidFill>
          </w14:textFill>
        </w:rPr>
        <w:t>栖息</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环境，加大保护力度，让过境居留候鸟</w:t>
      </w:r>
      <w:r>
        <w:rPr>
          <w:rFonts w:hint="default" w:ascii="仿宋_GB2312" w:hAnsi="仿宋" w:eastAsia="仿宋_GB2312" w:cs="宋体"/>
          <w:color w:val="000000" w:themeColor="text1"/>
          <w:kern w:val="0"/>
          <w:sz w:val="32"/>
          <w:szCs w:val="32"/>
          <w:lang w:val="en-US" w:eastAsia="zh-CN"/>
          <w14:textFill>
            <w14:solidFill>
              <w14:schemeClr w14:val="tx1"/>
            </w14:solidFill>
          </w14:textFill>
        </w:rPr>
        <w:t>免受干扰和破坏</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w:t>
      </w:r>
      <w:r>
        <w:rPr>
          <w:rFonts w:hint="default" w:ascii="仿宋_GB2312" w:hAnsi="仿宋" w:eastAsia="仿宋_GB2312" w:cs="宋体"/>
          <w:color w:val="000000" w:themeColor="text1"/>
          <w:kern w:val="0"/>
          <w:sz w:val="32"/>
          <w:szCs w:val="32"/>
          <w:lang w:val="en-US" w:eastAsia="zh-CN"/>
          <w14:textFill>
            <w14:solidFill>
              <w14:schemeClr w14:val="tx1"/>
            </w14:solidFill>
          </w14:textFill>
        </w:rPr>
        <w:t>使迁徙候鸟的保护和研究达到世界先进水平。引进优秀人才，建立专业</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w:t>
      </w:r>
      <w:r>
        <w:rPr>
          <w:rFonts w:hint="default" w:ascii="仿宋_GB2312" w:hAnsi="仿宋" w:eastAsia="仿宋_GB2312" w:cs="宋体"/>
          <w:color w:val="000000" w:themeColor="text1"/>
          <w:kern w:val="0"/>
          <w:sz w:val="32"/>
          <w:szCs w:val="32"/>
          <w:lang w:val="en-US" w:eastAsia="zh-CN"/>
          <w14:textFill>
            <w14:solidFill>
              <w14:schemeClr w14:val="tx1"/>
            </w14:solidFill>
          </w14:textFill>
        </w:rPr>
        <w:t>高效</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w:t>
      </w:r>
      <w:r>
        <w:rPr>
          <w:rFonts w:hint="default" w:ascii="仿宋_GB2312" w:hAnsi="仿宋" w:eastAsia="仿宋_GB2312" w:cs="宋体"/>
          <w:color w:val="000000" w:themeColor="text1"/>
          <w:kern w:val="0"/>
          <w:sz w:val="32"/>
          <w:szCs w:val="32"/>
          <w:lang w:val="en-US" w:eastAsia="zh-CN"/>
          <w14:textFill>
            <w14:solidFill>
              <w14:schemeClr w14:val="tx1"/>
            </w14:solidFill>
          </w14:textFill>
        </w:rPr>
        <w:t>规范的保护区职工队伍</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w:t>
      </w:r>
    </w:p>
    <w:p>
      <w:pPr>
        <w:pStyle w:val="4"/>
        <w:bidi w:val="0"/>
        <w:rPr>
          <w:rFonts w:hint="eastAsia"/>
          <w:lang w:val="en-US" w:eastAsia="zh-CN"/>
        </w:rPr>
      </w:pPr>
      <w:bookmarkStart w:id="11" w:name="_Toc7065"/>
      <w:bookmarkStart w:id="12" w:name="_Toc17850"/>
      <w:r>
        <w:rPr>
          <w:rFonts w:hint="eastAsia"/>
          <w:lang w:val="en-US" w:eastAsia="zh-CN"/>
        </w:rPr>
        <w:t>2.3.5 森林病虫害防治</w:t>
      </w:r>
      <w:bookmarkEnd w:id="11"/>
      <w:bookmarkEnd w:id="12"/>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全区林业有害生物成灾率控制在3‰以内，无公害防治率达88%以上，测报准确率达90%以上，种苗产地检疫率达100%以上，松材线虫病监测普查率100%。进一步加强森林植物检疫工作基础设施建设，全面提高危险性林业有害生物的预防和除治水平，阻止危险性林业有害生物的传入，一旦外来有害生物侵入，做到及早发现，立即消灭。</w:t>
      </w:r>
    </w:p>
    <w:p>
      <w:pPr>
        <w:pStyle w:val="4"/>
        <w:bidi w:val="0"/>
        <w:rPr>
          <w:rFonts w:hint="eastAsia"/>
          <w:lang w:val="en-US" w:eastAsia="zh-CN"/>
        </w:rPr>
      </w:pPr>
      <w:bookmarkStart w:id="13" w:name="_Toc2361"/>
      <w:bookmarkStart w:id="14" w:name="_Toc29087"/>
      <w:r>
        <w:rPr>
          <w:rFonts w:hint="eastAsia"/>
          <w:lang w:val="en-US" w:eastAsia="zh-CN"/>
        </w:rPr>
        <w:t>2.3.6 野生动物保护</w:t>
      </w:r>
      <w:bookmarkEnd w:id="13"/>
      <w:bookmarkEnd w:id="14"/>
    </w:p>
    <w:p>
      <w:pPr>
        <w:pStyle w:val="14"/>
        <w:pageBreakBefore w:val="0"/>
        <w:numPr>
          <w:ilvl w:val="0"/>
          <w:numId w:val="0"/>
        </w:numPr>
        <w:kinsoku/>
        <w:wordWrap/>
        <w:overflowPunct/>
        <w:topLinePunct w:val="0"/>
        <w:bidi w:val="0"/>
        <w:snapToGrid/>
        <w:spacing w:line="520" w:lineRule="exact"/>
        <w:ind w:left="645" w:leftChars="0"/>
        <w:jc w:val="left"/>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加强野生动物疫源疫病监测体系建设  </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1、</w:t>
      </w:r>
      <w:r>
        <w:rPr>
          <w:rFonts w:hint="eastAsia" w:ascii="仿宋_GB2312" w:hAnsi="Times New Roman" w:eastAsia="仿宋_GB2312" w:cs="Times New Roman"/>
          <w:color w:val="000000"/>
          <w:kern w:val="2"/>
          <w:sz w:val="32"/>
          <w:szCs w:val="32"/>
          <w:lang w:val="en-US" w:eastAsia="zh-CN" w:bidi="ar-SA"/>
        </w:rPr>
        <w:t>加强野生动物疫源疫病监测，有效地预防、控制野生动物疫病，加强与卫生、畜牧等部门加强协作与合作，开展疫源疫病监测与防控培训，提高应对突发性野生动物疫情的防控能力。</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s="Times New Roman"/>
          <w:color w:val="000000"/>
          <w:kern w:val="2"/>
          <w:sz w:val="32"/>
          <w:szCs w:val="32"/>
          <w:lang w:val="en-US" w:eastAsia="zh-CN" w:bidi="ar-SA"/>
        </w:rPr>
        <w:t>2、</w:t>
      </w:r>
      <w:r>
        <w:rPr>
          <w:rFonts w:hint="eastAsia" w:ascii="仿宋_GB2312" w:hAnsi="Times New Roman" w:eastAsia="仿宋_GB2312" w:cs="Times New Roman"/>
          <w:color w:val="000000"/>
          <w:kern w:val="2"/>
          <w:sz w:val="32"/>
          <w:szCs w:val="32"/>
          <w:lang w:val="en-US" w:eastAsia="zh-CN" w:bidi="ar-SA"/>
        </w:rPr>
        <w:t>强化刘家湖等重点区域、野生动物疫源疫病多发区域、候鸟迁徙通道、野生动物集中分布区域</w:t>
      </w:r>
      <w:r>
        <w:rPr>
          <w:rFonts w:hint="eastAsia" w:ascii="仿宋_GB2312" w:eastAsia="仿宋_GB2312"/>
          <w:color w:val="000000"/>
          <w:sz w:val="32"/>
          <w:szCs w:val="32"/>
        </w:rPr>
        <w:t>、野生动物繁育基地的防疫措施，严防珍稀濒危动物感染。</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完善防控物资保障体系：建立一个野生动物疫源疫病防控应急物资存储仓库；采购存储一批野生动物疫源疫病防控消毒药械、防护服、警示牌、扑杀器等应急物资。</w:t>
      </w:r>
    </w:p>
    <w:p>
      <w:pPr>
        <w:pStyle w:val="4"/>
        <w:bidi w:val="0"/>
        <w:rPr>
          <w:rFonts w:hint="eastAsia"/>
          <w:lang w:val="en-US" w:eastAsia="zh-CN"/>
        </w:rPr>
      </w:pPr>
      <w:bookmarkStart w:id="15" w:name="_Toc640"/>
      <w:r>
        <w:rPr>
          <w:rFonts w:hint="eastAsia"/>
          <w:lang w:val="en-US" w:eastAsia="zh-CN"/>
        </w:rPr>
        <w:t>2.3.7 造林绿化</w:t>
      </w:r>
      <w:bookmarkEnd w:id="15"/>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充分利用全区林区资源，推进防护林工程建设，全面提升防护功能。增加绿化面积，改善水质，控制水土流失。同时通过造林绿化工作的开展，防治土地沙漠化。不仅如此，造林绿化工作的开展能有效丰富物种的多样性，从而就能更有效的利用环境资源。</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2、推进农村人居环境整治，开展绿色村庄、森林乡村创建，营造宜居环境。</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3、城市生态公园建设。通过建设城市生态公园，改善城市空气质量，提升人民幸福感。</w:t>
      </w:r>
    </w:p>
    <w:p>
      <w:pPr>
        <w:pStyle w:val="3"/>
        <w:numPr>
          <w:ilvl w:val="1"/>
          <w:numId w:val="0"/>
        </w:numPr>
        <w:bidi w:val="0"/>
        <w:rPr>
          <w:rFonts w:hint="eastAsia"/>
          <w:sz w:val="36"/>
          <w:szCs w:val="36"/>
          <w:lang w:val="en-US" w:eastAsia="zh-CN"/>
        </w:rPr>
      </w:pPr>
      <w:bookmarkStart w:id="16" w:name="_Toc31068"/>
      <w:r>
        <w:rPr>
          <w:rFonts w:hint="eastAsia"/>
          <w:sz w:val="36"/>
          <w:szCs w:val="36"/>
          <w:lang w:val="en-US" w:eastAsia="zh-CN"/>
        </w:rPr>
        <w:t>2.4 规划项目</w:t>
      </w:r>
      <w:bookmarkEnd w:id="16"/>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bookmarkStart w:id="17" w:name="_Toc8889"/>
      <w:r>
        <w:rPr>
          <w:rFonts w:hint="eastAsia" w:ascii="仿宋_GB2312" w:eastAsia="仿宋_GB2312"/>
          <w:color w:val="000000"/>
          <w:sz w:val="32"/>
          <w:szCs w:val="32"/>
          <w:lang w:val="en-US" w:eastAsia="zh-CN"/>
        </w:rPr>
        <w:t>1、防护林工程人工造林项目。全面提升防护功能，造林10000亩。</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2、造林补助项目。在无林地、疏林地、灌木林地、林冠下以及乡村“四旁”（村旁、路旁、水旁、宅旁）造林50000亩。</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3、森林抚育补助项目。在国有林或集体和个人所有的公益林中完成幼龄林和中龄林抚育50000亩。</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4、环洞庭湖防浪林建设项目。枫杨、竹柳、池杉等更新造林20000亩。</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5、生态廊道建设。道路（高速铁路、高速公路、国道、省道、县道和乡道）、资江、洞庭湖等区域生态廊道造林10000亩。</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6、古树名木保护。开展古树名木挂牌与濒危古树的修复等工作。</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7、乡村绿化工程。推进农村人居环境整治，开展绿色村庄、森林乡村创建，营造宜居环境。全区70%以上的村达到绿色村庄标准。</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8、青龙洲城市生态公园建设。绿化、土建、园建、基础设施、设备安装等绿化相关建设以及入园公路、桥梁和防护堤等配套设施建设，建成比较完美的自然化的城市湿地生态公园。</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9、珍贵乡土树种苗木培育基地建设。促进花卉苗木产业的转型升级，扶持绿化龙头企业，完善苗木生产、销售、绿化施工的一体化建设，融合、拉长产业链，建立网络信息服务平台和产业发展预警机制。</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10、智慧林业。1、组织林业技术人员培训；2、建立2-3个林业科普廊道（点），加强林业宣传，提升林业形象；3、开展林业成果研发与推广。</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11、现代林业示范基地建设。创建3-5个示范基地（油茶、迷迭香、特色水果、苗木花卉等）。</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12、湖南林产品交易展示中心。功能设计为林产品展示、交易、物流、会议、培训等；新建油茶果初加工与茶籽仓储交易中心;新建特色水果基地2000亩；紫薇文化博览园提质改造、维护；建设资阳苗木市场、林产品交易市场。</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13、南洞庭湖流域（资阳）内湖生物多样性恢复。在资阳区内湖疏浚清淤、截流面源污染、栽种适生植物、打造小微湿地群、发展培植挺水植物、浮水植物产业，使我区生物多样性增长，改善各内湖水质。同时带动周边乡土种植产业发展，提供劳动力就业机会。形成截流、生态优化、培养产业、改善南洞庭湖水质的良性运转。</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14、湖南黄家湖国家湿地公园湿地建设与保护工程。管护基础设施设备、管理标识、湿地修复、宣传教育。</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15、矿山修复项目。对资阳区范围内的矿山进行修复。</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16、南洞庭湿地修复项目。开展南洞庭湿地保护工程和湿地恢复工程建设，尽力扩大湿地面积，全力推进“洞庭湖国家公园”建设。</w:t>
      </w:r>
    </w:p>
    <w:p>
      <w:pPr>
        <w:pageBreakBefore w:val="0"/>
        <w:widowControl/>
        <w:kinsoku/>
        <w:wordWrap/>
        <w:overflowPunct/>
        <w:topLinePunct w:val="0"/>
        <w:bidi w:val="0"/>
        <w:snapToGrid/>
        <w:spacing w:line="52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17、茶油小作坊升级改造示范项目和高标准油茶示范基地建设项目。升级改造一批油茶小作坊，以嫁接换冠和劣株换种以及加强抚育相结合的方式将低产中幼林和部分低产成林改造成品种优良、林相整齐、适合高效率集约经营的高质量油茶丰产林。</w:t>
      </w:r>
    </w:p>
    <w:p>
      <w:pPr>
        <w:pStyle w:val="3"/>
        <w:numPr>
          <w:ilvl w:val="1"/>
          <w:numId w:val="0"/>
        </w:numPr>
        <w:bidi w:val="0"/>
        <w:rPr>
          <w:rFonts w:hint="eastAsia"/>
          <w:sz w:val="36"/>
          <w:szCs w:val="36"/>
          <w:lang w:val="en-US" w:eastAsia="zh-CN"/>
        </w:rPr>
      </w:pPr>
      <w:r>
        <w:rPr>
          <w:rFonts w:hint="eastAsia"/>
          <w:sz w:val="36"/>
          <w:szCs w:val="36"/>
          <w:lang w:val="en-US" w:eastAsia="zh-CN"/>
        </w:rPr>
        <w:t>2.5 产业布局</w:t>
      </w:r>
      <w:bookmarkEnd w:id="17"/>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结合实际情况，坚持加强保护与合理开发相结合原则，在全区重点发展森林生态旅游产业，打造乡村旅游精品路线。</w:t>
      </w:r>
      <w:r>
        <w:rPr>
          <w:rFonts w:hint="eastAsia" w:ascii="仿宋_GB2312" w:hAnsi="Times New Roman" w:eastAsia="仿宋_GB2312" w:cs="Times New Roman"/>
          <w:color w:val="000000"/>
          <w:kern w:val="2"/>
          <w:sz w:val="32"/>
          <w:szCs w:val="32"/>
          <w:lang w:val="en-US" w:eastAsia="zh-CN" w:bidi="ar-SA"/>
        </w:rPr>
        <w:t>森林生态旅游以森林生态环境为主体，突出自然野趣和保健等多种功能，因地制宜，发挥自身优势，形成独特风格和地方特色。林业资源经济由“砍树”经济向“看树”经济</w:t>
      </w:r>
      <w:r>
        <w:rPr>
          <w:rFonts w:hint="eastAsia" w:ascii="仿宋_GB2312"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由“卖木头”向“卖空气、卖生态、卖景观”的转型</w:t>
      </w:r>
      <w:r>
        <w:rPr>
          <w:rFonts w:hint="eastAsia" w:ascii="仿宋_GB2312" w:eastAsia="仿宋_GB2312" w:cs="Times New Roman"/>
          <w:color w:val="000000"/>
          <w:kern w:val="2"/>
          <w:sz w:val="32"/>
          <w:szCs w:val="32"/>
          <w:lang w:val="en-US" w:eastAsia="zh-CN" w:bidi="ar-SA"/>
        </w:rPr>
        <w:t>发展</w:t>
      </w:r>
      <w:r>
        <w:rPr>
          <w:rFonts w:hint="eastAsia" w:ascii="仿宋_GB2312" w:hAnsi="Times New Roman" w:eastAsia="仿宋_GB2312" w:cs="Times New Roman"/>
          <w:color w:val="000000"/>
          <w:kern w:val="2"/>
          <w:sz w:val="32"/>
          <w:szCs w:val="32"/>
          <w:lang w:val="en-US" w:eastAsia="zh-CN" w:bidi="ar-SA"/>
        </w:rPr>
        <w:t>。</w:t>
      </w:r>
    </w:p>
    <w:p>
      <w:pPr>
        <w:pStyle w:val="4"/>
        <w:bidi w:val="0"/>
        <w:rPr>
          <w:rFonts w:hint="eastAsia"/>
          <w:lang w:val="en-US" w:eastAsia="zh-CN"/>
        </w:rPr>
      </w:pPr>
      <w:bookmarkStart w:id="18" w:name="_Toc7555"/>
      <w:r>
        <w:rPr>
          <w:rFonts w:hint="eastAsia"/>
          <w:lang w:val="en-US" w:eastAsia="zh-CN"/>
        </w:rPr>
        <w:t>2.5.1 新桥河镇</w:t>
      </w:r>
      <w:bookmarkEnd w:id="1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从黄金洲的枇杷山庄—新桥河镇车前巷的黄花梨基地—河坝村的生态黄金茶园—杨林坳万民山资阳西部乡村原生态四景。以新桥河镇为中心，重点打造林下经济基地。</w:t>
      </w:r>
    </w:p>
    <w:p>
      <w:pPr>
        <w:pStyle w:val="4"/>
        <w:bidi w:val="0"/>
        <w:rPr>
          <w:rFonts w:hint="eastAsia"/>
          <w:lang w:val="en-US" w:eastAsia="zh-CN"/>
        </w:rPr>
      </w:pPr>
      <w:bookmarkStart w:id="19" w:name="_Toc9849"/>
      <w:r>
        <w:rPr>
          <w:rFonts w:hint="eastAsia"/>
          <w:lang w:val="en-US" w:eastAsia="zh-CN"/>
        </w:rPr>
        <w:t>2.5.2 长春镇</w:t>
      </w:r>
      <w:bookmarkEnd w:id="19"/>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从紫薇村——黄家湖国家湿地公园——云梦方舟七色花洲，从319国道——益沅公路（老）——益沅公路（新）以长春镇、迎风桥镇为中心，打造花卉苗木产业基地。</w:t>
      </w:r>
    </w:p>
    <w:p>
      <w:pPr>
        <w:pStyle w:val="4"/>
        <w:bidi w:val="0"/>
        <w:rPr>
          <w:rFonts w:hint="eastAsia"/>
          <w:lang w:val="en-US" w:eastAsia="zh-CN"/>
        </w:rPr>
      </w:pPr>
      <w:bookmarkStart w:id="20" w:name="_Toc17866"/>
      <w:r>
        <w:rPr>
          <w:rFonts w:hint="eastAsia"/>
          <w:lang w:val="en-US" w:eastAsia="zh-CN"/>
        </w:rPr>
        <w:t>2.5.3 民主垸</w:t>
      </w:r>
      <w:bookmarkEnd w:id="20"/>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以刘家湖国有林场为中心，绿色村庄为亮点，沿途打造好黄家湖、南洞庭湖内湖的旅游品质提升和文化品牌宣传。</w:t>
      </w:r>
    </w:p>
    <w:p>
      <w:pPr>
        <w:pStyle w:val="4"/>
        <w:bidi w:val="0"/>
        <w:rPr>
          <w:rFonts w:hint="eastAsia"/>
          <w:lang w:val="en-US" w:eastAsia="zh-CN"/>
        </w:rPr>
      </w:pPr>
      <w:bookmarkStart w:id="21" w:name="_Toc1704"/>
      <w:r>
        <w:rPr>
          <w:rFonts w:hint="eastAsia"/>
          <w:lang w:val="en-US" w:eastAsia="zh-CN"/>
        </w:rPr>
        <w:t>2.5.4 长春经济开发区</w:t>
      </w:r>
      <w:bookmarkEnd w:id="21"/>
    </w:p>
    <w:p>
      <w:pPr>
        <w:pageBreakBefore w:val="0"/>
        <w:widowControl/>
        <w:kinsoku/>
        <w:wordWrap/>
        <w:overflowPunct/>
        <w:topLinePunct w:val="0"/>
        <w:bidi w:val="0"/>
        <w:snapToGrid/>
        <w:spacing w:line="520" w:lineRule="exact"/>
        <w:ind w:firstLine="640" w:firstLineChars="200"/>
        <w:jc w:val="left"/>
        <w:textAlignment w:val="auto"/>
        <w:rPr>
          <w:rFonts w:hint="default" w:ascii="仿宋_GB2312"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以长春经济开发区为重点，大力发展竹笋、板材、竹砧板等竹木加工企业。</w:t>
      </w:r>
    </w:p>
    <w:p>
      <w:pPr>
        <w:pStyle w:val="3"/>
        <w:numPr>
          <w:ilvl w:val="1"/>
          <w:numId w:val="0"/>
        </w:numPr>
        <w:bidi w:val="0"/>
        <w:rPr>
          <w:rFonts w:hint="eastAsia"/>
          <w:sz w:val="36"/>
          <w:szCs w:val="36"/>
          <w:lang w:val="en-US" w:eastAsia="zh-CN"/>
        </w:rPr>
      </w:pPr>
      <w:bookmarkStart w:id="22" w:name="_Toc16199"/>
      <w:r>
        <w:rPr>
          <w:rFonts w:hint="eastAsia"/>
          <w:sz w:val="36"/>
          <w:szCs w:val="36"/>
          <w:lang w:val="en-US" w:eastAsia="zh-CN"/>
        </w:rPr>
        <w:t>2.6 效益分析</w:t>
      </w:r>
      <w:bookmarkEnd w:id="22"/>
    </w:p>
    <w:p>
      <w:pPr>
        <w:pStyle w:val="4"/>
        <w:bidi w:val="0"/>
        <w:rPr>
          <w:rFonts w:hint="eastAsia"/>
          <w:lang w:val="en-US" w:eastAsia="zh-CN"/>
        </w:rPr>
      </w:pPr>
      <w:bookmarkStart w:id="23" w:name="_Toc23726"/>
      <w:r>
        <w:rPr>
          <w:rFonts w:hint="eastAsia"/>
          <w:lang w:val="en-US" w:eastAsia="zh-CN"/>
        </w:rPr>
        <w:t>2.6.1 生态效益分析</w:t>
      </w:r>
      <w:bookmarkEnd w:id="23"/>
    </w:p>
    <w:p>
      <w:pPr>
        <w:pageBreakBefore w:val="0"/>
        <w:widowControl/>
        <w:kinsoku/>
        <w:wordWrap/>
        <w:overflowPunct/>
        <w:topLinePunct w:val="0"/>
        <w:bidi w:val="0"/>
        <w:snapToGrid/>
        <w:spacing w:line="520" w:lineRule="exact"/>
        <w:ind w:firstLine="800" w:firstLineChars="25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通过项目实施，全</w:t>
      </w:r>
      <w:r>
        <w:rPr>
          <w:rFonts w:hint="eastAsia" w:ascii="仿宋_GB2312" w:eastAsia="仿宋_GB2312"/>
          <w:color w:val="000000"/>
          <w:sz w:val="32"/>
          <w:szCs w:val="32"/>
          <w:lang w:eastAsia="zh-CN"/>
        </w:rPr>
        <w:t>区</w:t>
      </w:r>
      <w:r>
        <w:rPr>
          <w:rFonts w:hint="eastAsia" w:ascii="仿宋_GB2312" w:eastAsia="仿宋_GB2312"/>
          <w:color w:val="000000"/>
          <w:sz w:val="32"/>
          <w:szCs w:val="32"/>
        </w:rPr>
        <w:t>森林分布、树种配置、林种结构日趋合理，生态环境得到明显改善，水土流失、沙化、石漠化、土壤次生盐碱化、湖泊富营养化、生物多样性锐减、防护林退化等现象得到有效遏制，全市极端气候以及自然灾害的发生得到有效缓解，森林调节气候、净化空气、涵养水源、保持水土、繁衍物种的能力显著增强，为</w:t>
      </w:r>
      <w:r>
        <w:rPr>
          <w:rFonts w:hint="eastAsia" w:ascii="仿宋_GB2312" w:eastAsia="仿宋_GB2312"/>
          <w:color w:val="000000"/>
          <w:sz w:val="32"/>
          <w:szCs w:val="32"/>
          <w:lang w:eastAsia="zh-CN"/>
        </w:rPr>
        <w:t>美丽资阳</w:t>
      </w:r>
      <w:r>
        <w:rPr>
          <w:rFonts w:hint="eastAsia" w:ascii="仿宋_GB2312" w:eastAsia="仿宋_GB2312"/>
          <w:color w:val="000000"/>
          <w:sz w:val="32"/>
          <w:szCs w:val="32"/>
        </w:rPr>
        <w:t>的发展创造有利条件。</w:t>
      </w:r>
    </w:p>
    <w:p>
      <w:pPr>
        <w:pStyle w:val="4"/>
        <w:bidi w:val="0"/>
        <w:rPr>
          <w:rFonts w:hint="eastAsia"/>
          <w:lang w:val="en-US" w:eastAsia="zh-CN"/>
        </w:rPr>
      </w:pPr>
      <w:bookmarkStart w:id="24" w:name="_Toc17376"/>
      <w:r>
        <w:rPr>
          <w:rFonts w:hint="eastAsia"/>
          <w:lang w:val="en-US" w:eastAsia="zh-CN"/>
        </w:rPr>
        <w:t>2.6.2 经济效益分析</w:t>
      </w:r>
      <w:bookmarkEnd w:id="2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通过项目建设，全</w:t>
      </w:r>
      <w:r>
        <w:rPr>
          <w:rFonts w:hint="eastAsia" w:ascii="仿宋_GB2312" w:eastAsia="仿宋_GB2312"/>
          <w:color w:val="000000"/>
          <w:sz w:val="32"/>
          <w:szCs w:val="32"/>
          <w:lang w:eastAsia="zh-CN"/>
        </w:rPr>
        <w:t>区</w:t>
      </w:r>
      <w:r>
        <w:rPr>
          <w:rFonts w:hint="eastAsia" w:ascii="仿宋_GB2312" w:eastAsia="仿宋_GB2312"/>
          <w:color w:val="000000"/>
          <w:sz w:val="32"/>
          <w:szCs w:val="32"/>
        </w:rPr>
        <w:t>中幼林和未成林造林地得到全面抚育，低效林、退化防护林得到有效改造，林分生长条件得到明显改善，林分质量得到显著提高，森林蓄积量和可采蓄积量大幅增加，木材储备效益大幅提升。同时林业产业结构得到进一步优化，林板、林纸、林化、林油、林能、林食、林药、林游等林业产业蓬勃发展，以速生丰产用材林、珍贵用材林、木本粮油（油茶、板栗、核桃等）、毛竹、中药材等为主体的商品林基地建设日趋壮大，原材料供应逐步实现基地化、规模化和集团化，林业产业链条进一步加强，林业产品附加值稳步提高，市场竞争力显著增强。林业产业向着规模化、集群化发展，林业产值大幅提高，到“十</w:t>
      </w:r>
      <w:r>
        <w:rPr>
          <w:rFonts w:hint="eastAsia" w:ascii="仿宋_GB2312" w:eastAsia="仿宋_GB2312"/>
          <w:color w:val="000000"/>
          <w:sz w:val="32"/>
          <w:szCs w:val="32"/>
          <w:lang w:eastAsia="zh-CN"/>
        </w:rPr>
        <w:t>四</w:t>
      </w:r>
      <w:r>
        <w:rPr>
          <w:rFonts w:hint="eastAsia" w:ascii="仿宋_GB2312" w:eastAsia="仿宋_GB2312"/>
          <w:color w:val="000000"/>
          <w:sz w:val="32"/>
          <w:szCs w:val="32"/>
        </w:rPr>
        <w:t>五”末，全</w:t>
      </w:r>
      <w:r>
        <w:rPr>
          <w:rFonts w:hint="eastAsia" w:ascii="仿宋_GB2312" w:eastAsia="仿宋_GB2312"/>
          <w:color w:val="000000"/>
          <w:sz w:val="32"/>
          <w:szCs w:val="32"/>
          <w:lang w:eastAsia="zh-CN"/>
        </w:rPr>
        <w:t>区</w:t>
      </w:r>
      <w:r>
        <w:rPr>
          <w:rFonts w:hint="eastAsia" w:ascii="仿宋_GB2312" w:eastAsia="仿宋_GB2312"/>
          <w:color w:val="000000"/>
          <w:sz w:val="32"/>
          <w:szCs w:val="32"/>
        </w:rPr>
        <w:t>林业总产值将突破</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亿元。</w:t>
      </w:r>
    </w:p>
    <w:p>
      <w:pPr>
        <w:pStyle w:val="4"/>
        <w:bidi w:val="0"/>
        <w:rPr>
          <w:rFonts w:hint="eastAsia"/>
          <w:lang w:val="en-US" w:eastAsia="zh-CN"/>
        </w:rPr>
      </w:pPr>
      <w:bookmarkStart w:id="25" w:name="_Toc20618"/>
      <w:r>
        <w:rPr>
          <w:rFonts w:hint="eastAsia"/>
          <w:lang w:val="en-US" w:eastAsia="zh-CN"/>
        </w:rPr>
        <w:t>2.6.3 社会效益分析</w:t>
      </w:r>
      <w:bookmarkEnd w:id="25"/>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eastAsia="zh-CN"/>
        </w:rPr>
        <w:t>四</w:t>
      </w:r>
      <w:r>
        <w:rPr>
          <w:rFonts w:hint="eastAsia" w:ascii="仿宋_GB2312" w:eastAsia="仿宋_GB2312"/>
          <w:color w:val="000000"/>
          <w:sz w:val="32"/>
          <w:szCs w:val="32"/>
        </w:rPr>
        <w:t>五”期间，湿地公园旅游基础设施建设逐步得到加强，旅游环境逐渐得到改善，旅客数量稳步增加，森林游憩效益大幅提升。森林内空气含氧量高、细菌少，噪声小、空气负氧离子高，可以促进新城代谢、提高人体免疫力，具有消除疲劳、镇静安神的作用。森林还具有减除微尘、净化大气的功能，有效防治雾霾等自然灾害天气。</w:t>
      </w:r>
    </w:p>
    <w:p>
      <w:pPr>
        <w:pageBreakBefore w:val="0"/>
        <w:widowControl/>
        <w:kinsoku/>
        <w:wordWrap/>
        <w:overflowPunct/>
        <w:topLinePunct w:val="0"/>
        <w:bidi w:val="0"/>
        <w:snapToGrid/>
        <w:spacing w:line="52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实施项目建设，需要大量的劳动力，提供了大量的就业岗位，扩大了就业途径，减轻了就业压力。同时，森林直接或间接收入，增加了人们的收入来源，提高了人民的生活水平，从而促进了社会稳定，对社会的安定和谐有着重要意义。森林的综合开发，必将带动其他产业的发展，生产环境的改善对提高劳动生产率发挥了重要作用，森林的游憩吸引大量的游人，也将带动地当地的旅游、服务业的发展，从而有利于文化知识的传播与交流，促进社会文明的进步。</w:t>
      </w:r>
    </w:p>
    <w:p>
      <w:pPr>
        <w:pStyle w:val="3"/>
        <w:numPr>
          <w:ilvl w:val="1"/>
          <w:numId w:val="0"/>
        </w:numPr>
        <w:bidi w:val="0"/>
        <w:rPr>
          <w:rFonts w:hint="eastAsia"/>
          <w:sz w:val="36"/>
          <w:szCs w:val="36"/>
          <w:lang w:val="en-US" w:eastAsia="zh-CN"/>
        </w:rPr>
      </w:pPr>
      <w:bookmarkStart w:id="26" w:name="_Toc8827"/>
      <w:r>
        <w:rPr>
          <w:rFonts w:hint="eastAsia"/>
          <w:sz w:val="36"/>
          <w:szCs w:val="36"/>
          <w:lang w:val="en-US" w:eastAsia="zh-CN"/>
        </w:rPr>
        <w:t>2.7 保障措施</w:t>
      </w:r>
      <w:bookmarkEnd w:id="26"/>
    </w:p>
    <w:p>
      <w:pPr>
        <w:pStyle w:val="4"/>
        <w:bidi w:val="0"/>
        <w:rPr>
          <w:rFonts w:hint="eastAsia"/>
          <w:lang w:val="en-US" w:eastAsia="zh-CN"/>
        </w:rPr>
      </w:pPr>
      <w:bookmarkStart w:id="27" w:name="_Toc18631"/>
      <w:r>
        <w:rPr>
          <w:rFonts w:hint="eastAsia"/>
          <w:lang w:val="en-US" w:eastAsia="zh-CN"/>
        </w:rPr>
        <w:t>2.7.1 组织保障</w:t>
      </w:r>
      <w:bookmarkEnd w:id="27"/>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b w:val="0"/>
          <w:bCs w:val="0"/>
          <w:color w:val="000000" w:themeColor="text1"/>
          <w:kern w:val="0"/>
          <w:sz w:val="32"/>
          <w:szCs w:val="32"/>
          <w:lang w:val="en-US" w:eastAsia="zh-CN" w:bidi="ar-SA"/>
          <w14:textFill>
            <w14:solidFill>
              <w14:schemeClr w14:val="tx1"/>
            </w14:solidFill>
          </w14:textFill>
        </w:rPr>
        <w:t>（1）统一认识，加强领导。</w:t>
      </w:r>
      <w:r>
        <w:rPr>
          <w:rFonts w:hint="eastAsia" w:ascii="仿宋_GB2312" w:hAnsi="仿宋" w:eastAsia="仿宋_GB2312" w:cs="宋体"/>
          <w:kern w:val="0"/>
          <w:sz w:val="32"/>
          <w:szCs w:val="32"/>
        </w:rPr>
        <w:t>林业是生态环境建设的主体，具有生态、经济和社会三大效益，在实现经济社会可持续发展中发挥着重要作用。在当前建立“和谐社会”的大环境下，林业也有长足的发展，但在日新月异的社会发展中，林业也不例外的有各种新的变化，各级党政领导应该充分认识林业的重要性，及时了解林业的各种变化与进步，切实增强林业建设的使命感、责任感和紧迫感，把林业工作列入重要议程，为林业持续健康发展营造良好的环境氛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b w:val="0"/>
          <w:bCs w:val="0"/>
          <w:color w:val="000000" w:themeColor="text1"/>
          <w:kern w:val="0"/>
          <w:sz w:val="32"/>
          <w:szCs w:val="32"/>
          <w:lang w:val="en-US" w:eastAsia="zh-CN" w:bidi="ar-SA"/>
          <w14:textFill>
            <w14:solidFill>
              <w14:schemeClr w14:val="tx1"/>
            </w14:solidFill>
          </w14:textFill>
        </w:rPr>
        <w:t>（2）落实任务，狠抓到位。为了更好的领导和管理林业，要将林业建设各项任</w:t>
      </w:r>
      <w:r>
        <w:rPr>
          <w:rFonts w:hint="eastAsia" w:ascii="仿宋_GB2312" w:hAnsi="仿宋" w:eastAsia="仿宋_GB2312" w:cs="宋体"/>
          <w:kern w:val="0"/>
          <w:sz w:val="32"/>
          <w:szCs w:val="32"/>
        </w:rPr>
        <w:t>务纳入政府目标责任制。建立和完善分工负责和统一监管的工作机制，形成县乡村分级管理，落实责任制度。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b w:val="0"/>
          <w:bCs/>
          <w:kern w:val="0"/>
          <w:sz w:val="32"/>
          <w:szCs w:val="32"/>
        </w:rPr>
        <w:t>（3）切实加强管理，保证项目实施到位。</w:t>
      </w:r>
      <w:r>
        <w:rPr>
          <w:rFonts w:hint="eastAsia" w:ascii="仿宋_GB2312" w:hAnsi="仿宋" w:eastAsia="仿宋_GB2312" w:cs="宋体"/>
          <w:kern w:val="0"/>
          <w:sz w:val="32"/>
          <w:szCs w:val="32"/>
        </w:rPr>
        <w:t>对国家和省林业重点工程建设项目，要定期检查，定期通报，确保规划、任务、资金、责任、成效“五落实”；对重大毁林案件、乱占用林地、违规使用资金和重点工程质量事故等，要依法追究有关领导和当事人的责任。</w:t>
      </w:r>
    </w:p>
    <w:p>
      <w:pPr>
        <w:pStyle w:val="4"/>
        <w:bidi w:val="0"/>
        <w:rPr>
          <w:rFonts w:hint="eastAsia"/>
          <w:lang w:val="en-US" w:eastAsia="zh-CN"/>
        </w:rPr>
      </w:pPr>
      <w:bookmarkStart w:id="28" w:name="_Toc13749"/>
      <w:r>
        <w:rPr>
          <w:rFonts w:hint="eastAsia"/>
          <w:lang w:val="en-US" w:eastAsia="zh-CN"/>
        </w:rPr>
        <w:t>2.7.2 制度保障</w:t>
      </w:r>
      <w:bookmarkEnd w:id="2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进一步抓好“五管理一处罚”，即森林资源管理、森林林木采伐限额管理、木材经营加工管理、林地及山林权属管理、木材运输销售管理、实施林业行政处罚。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b w:val="0"/>
          <w:bCs/>
          <w:kern w:val="0"/>
          <w:sz w:val="32"/>
          <w:szCs w:val="32"/>
        </w:rPr>
        <w:t>（1）强化林权管理</w:t>
      </w:r>
      <w:r>
        <w:rPr>
          <w:rFonts w:hint="eastAsia" w:ascii="仿宋_GB2312" w:hAnsi="仿宋" w:eastAsia="仿宋_GB2312" w:cs="宋体"/>
          <w:b w:val="0"/>
          <w:bCs/>
          <w:kern w:val="0"/>
          <w:sz w:val="32"/>
          <w:szCs w:val="32"/>
          <w:lang w:eastAsia="zh-CN"/>
        </w:rPr>
        <w:t>。</w:t>
      </w:r>
      <w:r>
        <w:rPr>
          <w:rFonts w:hint="eastAsia" w:ascii="仿宋_GB2312" w:hAnsi="仿宋" w:eastAsia="仿宋_GB2312" w:cs="宋体"/>
          <w:b w:val="0"/>
          <w:bCs/>
          <w:kern w:val="0"/>
          <w:sz w:val="32"/>
          <w:szCs w:val="32"/>
        </w:rPr>
        <w:t>按照“明晰所有权、搞活使用权、放开经营权、保护受益权”的要求，全面落实集体林权改革，深化配套改革，积极有序地推进森林、林木</w:t>
      </w:r>
      <w:r>
        <w:rPr>
          <w:rFonts w:hint="eastAsia" w:ascii="仿宋_GB2312" w:hAnsi="仿宋" w:eastAsia="仿宋_GB2312" w:cs="宋体"/>
          <w:kern w:val="0"/>
          <w:sz w:val="32"/>
          <w:szCs w:val="32"/>
        </w:rPr>
        <w:t>、林地使用权的合理流转。认真开展调查研究，按照“程序规范、流转有序”的要求，制定流转办法，加强对林权交易的管理。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（2）加强林地管理，严格控制林地流转，严格工程项目使用林地的审批程序，严厉打击乱砍滥伐、随意占用林地、绿地的不法行为，保证林业的健康发展。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b w:val="0"/>
          <w:bCs w:val="0"/>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b w:val="0"/>
          <w:bCs w:val="0"/>
          <w:color w:val="000000" w:themeColor="text1"/>
          <w:kern w:val="0"/>
          <w:sz w:val="32"/>
          <w:szCs w:val="32"/>
          <w:lang w:val="en-US" w:eastAsia="zh-CN" w:bidi="ar-SA"/>
          <w14:textFill>
            <w14:solidFill>
              <w14:schemeClr w14:val="tx1"/>
            </w14:solidFill>
          </w14:textFill>
        </w:rPr>
        <w:t>（3）落实森林资源管护制度，制定相关的管护管理办法和各级生态公益林管护责任制，将森林资源的保护、培育、采伐和流通、销售等主要生产经营活动，纳入法制化管理的轨道。</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b w:val="0"/>
          <w:bCs w:val="0"/>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b w:val="0"/>
          <w:bCs w:val="0"/>
          <w:color w:val="000000" w:themeColor="text1"/>
          <w:kern w:val="0"/>
          <w:sz w:val="32"/>
          <w:szCs w:val="32"/>
          <w:lang w:val="en-US" w:eastAsia="zh-CN" w:bidi="ar-SA"/>
          <w14:textFill>
            <w14:solidFill>
              <w14:schemeClr w14:val="tx1"/>
            </w14:solidFill>
          </w14:textFill>
        </w:rPr>
        <w:t>（4）加强资金管理，管好用好各种政府投入资金、项目资金。制定资金管理办法，切实落实管理制度。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（5）大力宣传各种国家及地方生态工程实施情况，管理办法，实施成效等，让人民群众了解这些项目的重要性，支持生态工程的实施。</w:t>
      </w:r>
    </w:p>
    <w:p>
      <w:pPr>
        <w:pStyle w:val="4"/>
        <w:bidi w:val="0"/>
        <w:rPr>
          <w:rFonts w:hint="eastAsia"/>
          <w:lang w:val="en-US" w:eastAsia="zh-CN"/>
        </w:rPr>
      </w:pPr>
      <w:bookmarkStart w:id="29" w:name="_Toc29414"/>
      <w:r>
        <w:rPr>
          <w:rFonts w:hint="eastAsia"/>
          <w:lang w:val="en-US" w:eastAsia="zh-CN"/>
        </w:rPr>
        <w:t>2.7.3 资金保障</w:t>
      </w:r>
      <w:bookmarkEnd w:id="29"/>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（1）以国家实施森林生态效益补偿工程为契机，积极争取中央和省、市林业的建设项目投入。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（2）加强工程建设使用林地管理，依法征收森林植被恢复费。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）由区财政预算安排区级林业产业发展专项基金。鼓励引导全区林业产业发展和生态建设。</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开展多渠道筹集资金，积极争取社会，企事业单位、民间团体对林业的投入。要采取租赁、拍卖、承包、股份合作和独资、合资等各种形式，吸引各方面的资金，形成国有资本、集体资本和私营资本共同参与的多元投入机制，确保林业规划任务目标的按时完成。</w:t>
      </w:r>
    </w:p>
    <w:p>
      <w:pPr>
        <w:pStyle w:val="4"/>
        <w:bidi w:val="0"/>
        <w:rPr>
          <w:rFonts w:hint="eastAsia"/>
          <w:lang w:val="en-US" w:eastAsia="zh-CN"/>
        </w:rPr>
      </w:pPr>
      <w:bookmarkStart w:id="30" w:name="_Toc1301"/>
      <w:r>
        <w:rPr>
          <w:rFonts w:hint="eastAsia"/>
          <w:lang w:val="en-US" w:eastAsia="zh-CN"/>
        </w:rPr>
        <w:t>2.7.4 机制保障</w:t>
      </w:r>
      <w:bookmarkEnd w:id="30"/>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活化机制是发展林业的基础。要以加快改革、扩大开放为动力，大力推进林业体制、机制的转轨步伐。要通过改革，逐步建立起一套与相持阶段林业发展相适应的政策体系、管理体系、标准体系。</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（1）把林权制度改革作为突破口，按照“稳定一批、完善一批、调整一批”的办法，建立“产权归属清晰、经营主体到位、责权划分明确、利益保障严格、流转规范顺畅、监管服务有效”的现代林业产权制度。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（2）进一步解放思想，适应市场经济发展的要求，进一步搞活林业投资机制，以政府投入为引导，调动各方面参与林业建设的积极性，吸引和鼓励“三资”开发林业，形成多元化林业投入的新格局。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3）改善投资环境，放宽非公有制林业投资主体、投资领域和经营形式，依法保护非公有制林业经营者的合法权益，引入民营经济方式，开展对国营林业企业的改革，调整林业所有制结构，转换国有林业经营的运行机制，提高企业效益。</w:t>
      </w:r>
    </w:p>
    <w:p>
      <w:pPr>
        <w:pStyle w:val="4"/>
        <w:bidi w:val="0"/>
        <w:rPr>
          <w:rFonts w:hint="eastAsia"/>
          <w:lang w:val="en-US" w:eastAsia="zh-CN"/>
        </w:rPr>
      </w:pPr>
      <w:bookmarkStart w:id="31" w:name="_Toc12335"/>
      <w:r>
        <w:rPr>
          <w:rFonts w:hint="eastAsia"/>
          <w:lang w:val="en-US" w:eastAsia="zh-CN"/>
        </w:rPr>
        <w:t>2.7.5 法律保障</w:t>
      </w:r>
      <w:bookmarkEnd w:id="31"/>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依法治林，确保林业的健康发展。执行中央、省、市出台的各项法律法规、政策、及规章制度，做到不违法、不违规。强化林木资源的保护和治理，实施依法治林，是维护造林绿化成果的根本保证。要采取多种形式，广泛深入地开展《森林法》和《森林法实施条例》的宣传活动，使广大群众知法、懂法、守法，不断增强法制观念，大力营造“爱树光荣，毁林可耻”的良好氛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依法护林、确保森林资源有序利用。严格执行林木限额采伐审批制度和木材采伐、运输、经营加工以及林地使用许可证制度，实行林木采伐全额治理。要建立健全护林组织和护林队伍，明确职责，合理解决报酬，调动护林员的积极性。公安、林政、公路、交通等部门相互配合，对乱砍滥伐、乱捕滥猎、乱占林地、故意毁坏幼树的案件，从快从严从重查处，确保林业生产秩序的正常发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健全林业执法体系,优化林业发展环境。加强林业执法队伍建设，提高林业执法水平，加强教育培训，提高林政、执法人员的素质，建立权责明确、行为规范、监督有效、保障有力的执法体系，提升林业执法权威。逐步建成以专业执法队伍为骨干，以专职护林队伍为基础，专群结合、以专为主，防打结合、以防为主，反应迅速、打击有力的森林资源安全保障体系。规范法制业务，建立健全各项法制工作制度，进一步强化执法服务工作，健全并严格落实各项执法制度，努力提高执法服务水平。</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（4）广泛宣传，深入人心。宣传各项林业的法律法规，方针政策，让广大市民耳熟能详，制止违法破坏森林的行为。广泛宣传森林公安的地位作用及相关法律法规，增强群众的保护意识和法律意识。</w:t>
      </w:r>
    </w:p>
    <w:p>
      <w:pPr>
        <w:pStyle w:val="4"/>
        <w:bidi w:val="0"/>
        <w:rPr>
          <w:rFonts w:hint="eastAsia"/>
          <w:lang w:val="en-US" w:eastAsia="zh-CN"/>
        </w:rPr>
      </w:pPr>
      <w:bookmarkStart w:id="32" w:name="_Toc3358"/>
      <w:r>
        <w:rPr>
          <w:rFonts w:hint="eastAsia"/>
          <w:lang w:val="en-US" w:eastAsia="zh-CN"/>
        </w:rPr>
        <w:t>2.7.6 科技保障</w:t>
      </w:r>
      <w:bookmarkEnd w:id="32"/>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进一步深化林业科技体制改革，加大科技投入，推进林业科技进步，是实施好科技兴林，提高工程建设质量的根本保障。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重视林业科学基础研究，加大适用技术的推广和应用，不断提高林业科技的适应和创新能力。重点研究营造林、低产林改造、补植补造、森林病虫害防治、森林资源与生态监测、林火管理与控制及主要经济林产品加工技术，推动林科教、技工贸相结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要加强林业科技队伍建设，鼓励科技人员参加培训学习，不断更新知识，激发科技人员积极性。了解林业前沿科技，掌握林业实用技术或邀请各个方面的林业专家到林业局来授课、亲临指导林业科技推广工作，提高自身的理论水平和实际操作能力。每年至少安排每个职工参加一次专业技术培训，逐步形成具有高、中、初级技术职称结构合理的技术队伍。同时负责对林业站科技推广人员的培训。</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（3）鼓励林业科技人员通过技术承包、技术咨询、技术参股、领办企业等多种形式，直接参与林业产业化建设，提高科技进步贡献率与科技成果转化率。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eastAsia="仿宋_GB2312"/>
          <w:lang w:val="en-US" w:eastAsia="zh-CN"/>
        </w:rPr>
        <w:sectPr>
          <w:head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 w:eastAsia="仿宋_GB2312" w:cs="宋体"/>
          <w:kern w:val="0"/>
          <w:sz w:val="32"/>
          <w:szCs w:val="32"/>
        </w:rPr>
        <w:t>（4）加强各种林业科技的培训和交流，建立长期稳定的科技协作关系，提高科技创新能力。加强对农民的技术培训工作，努力提高他们的科技意识与应用能力，着力造就一批科技型农民，使科技真正转化为生产</w:t>
      </w:r>
      <w:r>
        <w:rPr>
          <w:rFonts w:hint="eastAsia" w:ascii="仿宋_GB2312" w:hAnsi="仿宋" w:eastAsia="仿宋_GB2312" w:cs="宋体"/>
          <w:kern w:val="0"/>
          <w:sz w:val="32"/>
          <w:szCs w:val="32"/>
          <w:lang w:eastAsia="zh-CN"/>
        </w:rPr>
        <w:t>。</w:t>
      </w:r>
    </w:p>
    <w:tbl>
      <w:tblPr>
        <w:tblStyle w:val="10"/>
        <w:tblpPr w:leftFromText="180" w:rightFromText="180" w:vertAnchor="text" w:horzAnchor="page" w:tblpX="1417" w:tblpY="121"/>
        <w:tblOverlap w:val="never"/>
        <w:tblW w:w="13944" w:type="dxa"/>
        <w:tblInd w:w="0" w:type="dxa"/>
        <w:shd w:val="clear" w:color="auto" w:fill="auto"/>
        <w:tblLayout w:type="autofit"/>
        <w:tblCellMar>
          <w:top w:w="0" w:type="dxa"/>
          <w:left w:w="0" w:type="dxa"/>
          <w:bottom w:w="0" w:type="dxa"/>
          <w:right w:w="0" w:type="dxa"/>
        </w:tblCellMar>
      </w:tblPr>
      <w:tblGrid>
        <w:gridCol w:w="780"/>
        <w:gridCol w:w="3192"/>
        <w:gridCol w:w="5700"/>
        <w:gridCol w:w="1632"/>
        <w:gridCol w:w="1560"/>
        <w:gridCol w:w="1080"/>
      </w:tblGrid>
      <w:tr>
        <w:tblPrEx>
          <w:shd w:val="clear" w:color="auto" w:fill="auto"/>
          <w:tblCellMar>
            <w:top w:w="0" w:type="dxa"/>
            <w:left w:w="0" w:type="dxa"/>
            <w:bottom w:w="0" w:type="dxa"/>
            <w:right w:w="0" w:type="dxa"/>
          </w:tblCellMar>
        </w:tblPrEx>
        <w:trPr>
          <w:trHeight w:val="675" w:hRule="atLeast"/>
        </w:trPr>
        <w:tc>
          <w:tcPr>
            <w:tcW w:w="13944" w:type="dxa"/>
            <w:gridSpan w:val="6"/>
            <w:tcBorders>
              <w:top w:val="nil"/>
              <w:left w:val="nil"/>
              <w:bottom w:val="nil"/>
              <w:right w:val="nil"/>
            </w:tcBorders>
            <w:shd w:val="clear" w:color="auto" w:fill="auto"/>
            <w:noWrap/>
            <w:tcMar>
              <w:top w:w="15" w:type="dxa"/>
              <w:left w:w="15" w:type="dxa"/>
              <w:right w:w="15" w:type="dxa"/>
            </w:tcMar>
            <w:vAlign w:val="center"/>
          </w:tcPr>
          <w:p>
            <w:pPr>
              <w:tabs>
                <w:tab w:val="left" w:pos="5752"/>
              </w:tabs>
              <w:bidi w:val="0"/>
              <w:ind w:firstLine="1920" w:firstLineChars="600"/>
              <w:jc w:val="center"/>
              <w:rPr>
                <w:rFonts w:hint="eastAsia" w:ascii="宋体" w:hAnsi="宋体" w:eastAsia="宋体" w:cs="宋体"/>
                <w:b/>
                <w:i w:val="0"/>
                <w:color w:val="000000"/>
                <w:szCs w:val="36"/>
                <w:u w:val="none"/>
              </w:rPr>
            </w:pPr>
            <w:r>
              <w:rPr>
                <w:rFonts w:hint="eastAsia" w:ascii="黑体" w:hAnsi="宋体" w:eastAsia="黑体" w:cs="宋体"/>
                <w:b w:val="0"/>
                <w:kern w:val="0"/>
                <w:sz w:val="32"/>
                <w:szCs w:val="32"/>
                <w:lang w:val="en-US" w:eastAsia="zh-CN" w:bidi="ar-SA"/>
              </w:rPr>
              <w:t>资阳区林业“十四五”期间重大项目计划申报表</w:t>
            </w:r>
          </w:p>
        </w:tc>
      </w:tr>
      <w:tr>
        <w:tblPrEx>
          <w:shd w:val="clear" w:color="auto" w:fill="auto"/>
          <w:tblCellMar>
            <w:top w:w="0" w:type="dxa"/>
            <w:left w:w="0" w:type="dxa"/>
            <w:bottom w:w="0" w:type="dxa"/>
            <w:right w:w="0" w:type="dxa"/>
          </w:tblCellMar>
        </w:tblPrEx>
        <w:trPr>
          <w:trHeight w:val="180" w:hRule="atLeast"/>
        </w:trPr>
        <w:tc>
          <w:tcPr>
            <w:tcW w:w="78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3192"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57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163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156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7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1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57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建设内容</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建设时间</w:t>
            </w: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总投资   </w:t>
            </w:r>
            <w:r>
              <w:rPr>
                <w:rStyle w:val="13"/>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5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u w:val="none"/>
              </w:rPr>
            </w:pPr>
          </w:p>
        </w:tc>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680500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5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防护林工程人工造林项目</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全面提升防护功能，造林10000亩</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1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造林补助项目</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在无林地、疏林地、灌木林地、林冠下以及乡村“四旁”（村旁、路旁、水旁、宅旁）造林50000亩</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7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森林抚育补助项目</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在国有林或集体和个人所有的公益林中完成幼龄林和中龄林抚育50000亩</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环洞庭湖防浪林建设项目</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枫杨、竹柳、池杉更新造林20000亩</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6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生态廊道建设</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道路（高速铁路、高速公路、国道、省道、县道和乡道）、资江、洞庭湖等区域生态廊道造林10000亩</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古树名木保护</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开展古树名木挂牌与濒危古树的修复等工作</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1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乡村绿化工程</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推进农村人居环境整治，开展绿色村庄、森林乡村创建，营造宜居环境。全区7</w:t>
            </w:r>
            <w:r>
              <w:rPr>
                <w:rStyle w:val="13"/>
                <w:lang w:val="en-US" w:eastAsia="zh-CN" w:bidi="ar"/>
              </w:rPr>
              <w:t>0%以上的村达到绿色村庄标准。</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9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青龙洲城市生态公园建设</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绿化、土建、园建、基础设施、设备安装等绿化相关建设以及入园公路、桥梁和防护堤等配套设施建设，建成比较完美的自然化的城市湿地生态公园。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其中绿化建设投资约1亿元</w:t>
            </w:r>
          </w:p>
        </w:tc>
      </w:tr>
      <w:tr>
        <w:tblPrEx>
          <w:shd w:val="clear" w:color="auto" w:fill="auto"/>
          <w:tblCellMar>
            <w:top w:w="0" w:type="dxa"/>
            <w:left w:w="0" w:type="dxa"/>
            <w:bottom w:w="0" w:type="dxa"/>
            <w:right w:w="0" w:type="dxa"/>
          </w:tblCellMar>
        </w:tblPrEx>
        <w:trPr>
          <w:trHeight w:val="145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3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珍贵乡土树种苗木培育基地建设</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促进花卉苗木产业的转型升级，扶持绿化龙头企业，完善苗木生产、销售、绿化施工的一体化建设，融合、拉长产业链，建立网络信息服务平台和产业发展预警机制</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1000</w:t>
            </w:r>
            <w:r>
              <w:rPr>
                <w:rFonts w:hint="eastAsia" w:ascii="宋体" w:hAnsi="宋体" w:cs="宋体"/>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39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智慧林业</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1、组织林业技术人员培训；2、建立2-3个林业科普廊道（点），加强林业宣传，提升林业形象；3、开展林业成果研发与推广</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800</w:t>
            </w:r>
            <w:r>
              <w:rPr>
                <w:rFonts w:hint="eastAsia" w:ascii="宋体" w:hAnsi="宋体" w:cs="宋体"/>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现代林业示范基地建设</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创建3-5个示范基地（油茶、迷迭香、特色水果、苗木花卉等）</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1000</w:t>
            </w:r>
            <w:r>
              <w:rPr>
                <w:rFonts w:hint="eastAsia" w:ascii="宋体" w:hAnsi="宋体" w:cs="宋体"/>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80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湖南林产品交易展示中心</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功能设计为林产品展示、交易、物流</w:t>
            </w:r>
            <w:r>
              <w:rPr>
                <w:rFonts w:hint="eastAsia" w:ascii="宋体" w:hAnsi="宋体" w:cs="宋体"/>
                <w:i w:val="0"/>
                <w:color w:val="000000"/>
                <w:sz w:val="24"/>
                <w:szCs w:val="24"/>
                <w:u w:val="none"/>
                <w:lang w:eastAsia="zh-CN"/>
              </w:rPr>
              <w:t>、</w:t>
            </w:r>
            <w:r>
              <w:rPr>
                <w:rFonts w:hint="eastAsia" w:ascii="宋体" w:hAnsi="宋体" w:eastAsia="宋体" w:cs="宋体"/>
                <w:i w:val="0"/>
                <w:color w:val="000000"/>
                <w:sz w:val="24"/>
                <w:szCs w:val="24"/>
                <w:u w:val="none"/>
              </w:rPr>
              <w:t>会议、培训等；新建油茶果初加工与茶籽仓储交易中心;新建特色水果基地2000亩；紫薇文化博览园提质改造、维护；建设资阳苗木市场、林产</w:t>
            </w:r>
            <w:r>
              <w:rPr>
                <w:rFonts w:hint="eastAsia" w:ascii="宋体" w:hAnsi="宋体" w:cs="宋体"/>
                <w:i w:val="0"/>
                <w:color w:val="000000"/>
                <w:sz w:val="24"/>
                <w:szCs w:val="24"/>
                <w:u w:val="none"/>
                <w:lang w:eastAsia="zh-CN"/>
              </w:rPr>
              <w:t>品</w:t>
            </w:r>
            <w:r>
              <w:rPr>
                <w:rFonts w:hint="eastAsia" w:ascii="宋体" w:hAnsi="宋体" w:eastAsia="宋体" w:cs="宋体"/>
                <w:i w:val="0"/>
                <w:color w:val="000000"/>
                <w:sz w:val="24"/>
                <w:szCs w:val="24"/>
                <w:u w:val="none"/>
              </w:rPr>
              <w:t>交易市场。</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72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13</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22"/>
                <w:szCs w:val="22"/>
                <w:u w:val="none"/>
                <w:lang w:val="en-US" w:eastAsia="zh-CN" w:bidi="ar-SA"/>
              </w:rPr>
            </w:pPr>
            <w:r>
              <w:rPr>
                <w:rStyle w:val="13"/>
                <w:rFonts w:hint="eastAsia"/>
                <w:lang w:val="en-US" w:eastAsia="zh-CN" w:bidi="ar"/>
              </w:rPr>
              <w:t>南洞庭湖流域（资阳）内湖生物多样性恢复</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22"/>
                <w:szCs w:val="22"/>
                <w:u w:val="none"/>
                <w:lang w:val="en-US" w:eastAsia="zh-CN" w:bidi="ar-SA"/>
              </w:rPr>
            </w:pPr>
            <w:r>
              <w:rPr>
                <w:rStyle w:val="13"/>
                <w:rFonts w:hint="eastAsia"/>
                <w:lang w:val="en-US" w:eastAsia="zh-CN" w:bidi="ar"/>
              </w:rPr>
              <w:t>在资阳区内湖疏浚清淤、截流面源污染、栽种适生植物、打造小微湿地群、发展培植挺水植物、浮水植物产业，使我区生物多样性增长，改善各内湖水质。同时带动周边乡土种植产业发展，提供劳动力就业机会。形成截流、生态优化、培养产业、改善南洞庭湖水质的良性运转。</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Style w:val="13"/>
                <w:rFonts w:hint="eastAsia"/>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17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14</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22"/>
                <w:szCs w:val="22"/>
                <w:u w:val="none"/>
                <w:lang w:val="en-US" w:eastAsia="zh-CN" w:bidi="ar-SA"/>
              </w:rPr>
            </w:pPr>
            <w:r>
              <w:rPr>
                <w:rStyle w:val="13"/>
                <w:rFonts w:hint="eastAsia"/>
                <w:lang w:val="en-US" w:eastAsia="zh-CN" w:bidi="ar"/>
              </w:rPr>
              <w:t>湖南黄家湖国家湿地公园湿地建设与保护工程</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22"/>
                <w:szCs w:val="22"/>
                <w:u w:val="none"/>
                <w:lang w:val="en-US" w:eastAsia="zh-CN" w:bidi="ar-SA"/>
              </w:rPr>
            </w:pPr>
            <w:r>
              <w:rPr>
                <w:rStyle w:val="13"/>
                <w:rFonts w:hint="eastAsia"/>
                <w:lang w:val="en-US" w:eastAsia="zh-CN" w:bidi="ar"/>
              </w:rPr>
              <w:t>管护基础设施设备、管理标识、湿地修复、宣传教育</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Style w:val="13"/>
                <w:rFonts w:hint="eastAsia"/>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59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348"/>
              </w:tabs>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15</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Style w:val="13"/>
                <w:rFonts w:hint="eastAsia"/>
                <w:lang w:val="en-US" w:eastAsia="zh-CN" w:bidi="ar"/>
              </w:rPr>
            </w:pPr>
            <w:r>
              <w:rPr>
                <w:rStyle w:val="13"/>
                <w:rFonts w:hint="eastAsia"/>
                <w:lang w:val="en-US" w:eastAsia="zh-CN" w:bidi="ar"/>
              </w:rPr>
              <w:t>矿山修复项目</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3"/>
                <w:rFonts w:hint="eastAsia"/>
                <w:lang w:val="en-US" w:eastAsia="zh-CN" w:bidi="ar"/>
              </w:rPr>
            </w:pPr>
            <w:r>
              <w:rPr>
                <w:rStyle w:val="13"/>
                <w:rFonts w:hint="eastAsia"/>
                <w:lang w:val="en-US" w:eastAsia="zh-CN" w:bidi="ar"/>
              </w:rPr>
              <w:t>对资阳区范围内的矿山进行修复</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72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348"/>
              </w:tabs>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16</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Style w:val="13"/>
                <w:rFonts w:hint="eastAsia"/>
                <w:lang w:val="en-US" w:eastAsia="zh-CN" w:bidi="ar"/>
              </w:rPr>
            </w:pPr>
            <w:r>
              <w:rPr>
                <w:rStyle w:val="13"/>
                <w:rFonts w:hint="eastAsia"/>
                <w:lang w:val="en-US" w:eastAsia="zh-CN" w:bidi="ar"/>
              </w:rPr>
              <w:t>南洞庭湿地修复项目</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3"/>
                <w:rFonts w:hint="eastAsia"/>
                <w:lang w:val="en-US" w:eastAsia="zh-CN" w:bidi="ar"/>
              </w:rPr>
            </w:pPr>
            <w:r>
              <w:rPr>
                <w:rStyle w:val="13"/>
                <w:rFonts w:hint="eastAsia"/>
                <w:lang w:val="en-US" w:eastAsia="zh-CN" w:bidi="ar"/>
              </w:rPr>
              <w:t>开展南洞庭湿地保护工程和湿地恢复工程建设，尽力扩大湿地面积，全力推进“洞庭湖国家公园”建设。</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2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348"/>
              </w:tabs>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17</w:t>
            </w:r>
          </w:p>
        </w:tc>
        <w:tc>
          <w:tcPr>
            <w:tcW w:w="3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Style w:val="13"/>
                <w:rFonts w:hint="eastAsia" w:eastAsia="宋体"/>
                <w:lang w:val="en-US" w:eastAsia="zh-CN" w:bidi="ar"/>
              </w:rPr>
            </w:pPr>
            <w:r>
              <w:rPr>
                <w:rStyle w:val="13"/>
                <w:rFonts w:hint="eastAsia"/>
                <w:lang w:val="en-US" w:eastAsia="zh-CN" w:bidi="ar"/>
              </w:rPr>
              <w:t>茶油小作坊升级改造示范项目和高标准油茶示范基地建设项目</w:t>
            </w:r>
          </w:p>
        </w:tc>
        <w:tc>
          <w:tcPr>
            <w:tcW w:w="5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3"/>
                <w:rFonts w:hint="eastAsia"/>
                <w:lang w:val="en-US" w:eastAsia="zh-CN" w:bidi="ar"/>
              </w:rPr>
            </w:pPr>
            <w:r>
              <w:rPr>
                <w:rStyle w:val="13"/>
                <w:rFonts w:hint="eastAsia"/>
                <w:lang w:val="en-US" w:eastAsia="zh-CN" w:bidi="ar"/>
              </w:rPr>
              <w:t>升级改造一批油茶小作坊，以嫁接换冠和劣株换种以及加强抚育相结合的方式将低产中幼林和部分地产成林改造成品种优良、林相整齐、适合高效率集约经营的高质量油茶丰产林。</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2021-2025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bidi w:val="0"/>
        <w:rPr>
          <w:rFonts w:hint="eastAsia"/>
          <w:lang w:val="en-US" w:eastAsia="zh-CN"/>
        </w:rPr>
      </w:pPr>
    </w:p>
    <w:p>
      <w:pPr>
        <w:bidi w:val="0"/>
        <w:rPr>
          <w:rFonts w:hint="eastAsia"/>
          <w:lang w:val="en-US" w:eastAsia="zh-CN"/>
        </w:rPr>
      </w:pPr>
    </w:p>
    <w:p>
      <w:pPr>
        <w:tabs>
          <w:tab w:val="left" w:pos="3128"/>
        </w:tabs>
        <w:bidi w:val="0"/>
        <w:jc w:val="left"/>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pPr>
        <w:tabs>
          <w:tab w:val="left" w:pos="3128"/>
        </w:tabs>
        <w:bidi w:val="0"/>
        <w:jc w:val="left"/>
        <w:rPr>
          <w:rFonts w:hint="eastAsia"/>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451FF"/>
    <w:multiLevelType w:val="multilevel"/>
    <w:tmpl w:val="55F451FF"/>
    <w:lvl w:ilvl="0" w:tentative="0">
      <w:start w:val="1"/>
      <w:numFmt w:val="japaneseCounting"/>
      <w:suff w:val="space"/>
      <w:lvlText w:val="第%1章"/>
      <w:lvlJc w:val="left"/>
    </w:lvl>
    <w:lvl w:ilvl="1" w:tentative="0">
      <w:start w:val="1"/>
      <w:numFmt w:val="decimal"/>
      <w:pStyle w:val="3"/>
      <w:suff w:val="space"/>
      <w:lvlText w:val="%1.%2"/>
      <w:lvlJc w:val="left"/>
    </w:lvl>
    <w:lvl w:ilvl="2" w:tentative="0">
      <w:start w:val="1"/>
      <w:numFmt w:val="decimal"/>
      <w:suff w:val="space"/>
      <w:lvlText w:val="%1.%2.%3"/>
      <w:lvlJc w:val="left"/>
      <w:rPr>
        <w:b w:val="0"/>
        <w:sz w:val="28"/>
      </w:rPr>
    </w:lvl>
    <w:lvl w:ilvl="3" w:tentative="0">
      <w:start w:val="1"/>
      <w:numFmt w:val="decimal"/>
      <w:suff w:val="space"/>
      <w:lvlText w:val="（%4）"/>
      <w:lvlJc w:val="left"/>
      <w:rPr>
        <w:sz w:val="24"/>
      </w:rPr>
    </w:lvl>
    <w:lvl w:ilvl="4" w:tentative="0">
      <w:start w:val="1"/>
      <w:numFmt w:val="decimal"/>
      <w:suff w:val="space"/>
      <w:lvlText w:val="（%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2U1N2MzZmExODRmZWJhYTk0YjgwYWFhOGFjYTEifQ=="/>
  </w:docVars>
  <w:rsids>
    <w:rsidRoot w:val="273E3922"/>
    <w:rsid w:val="00333536"/>
    <w:rsid w:val="00A21E21"/>
    <w:rsid w:val="020D4366"/>
    <w:rsid w:val="020E0023"/>
    <w:rsid w:val="02996873"/>
    <w:rsid w:val="02B623CC"/>
    <w:rsid w:val="02E0798D"/>
    <w:rsid w:val="03206335"/>
    <w:rsid w:val="037D2EC3"/>
    <w:rsid w:val="03E72624"/>
    <w:rsid w:val="06FE0D45"/>
    <w:rsid w:val="071C10C2"/>
    <w:rsid w:val="0C401935"/>
    <w:rsid w:val="0D264697"/>
    <w:rsid w:val="0D482EEB"/>
    <w:rsid w:val="0EB21C65"/>
    <w:rsid w:val="0EBA3B7F"/>
    <w:rsid w:val="0EBB7BE1"/>
    <w:rsid w:val="0F670FD0"/>
    <w:rsid w:val="102A64BE"/>
    <w:rsid w:val="10DE0A56"/>
    <w:rsid w:val="11680CF0"/>
    <w:rsid w:val="116C5E43"/>
    <w:rsid w:val="123A7996"/>
    <w:rsid w:val="125A14B6"/>
    <w:rsid w:val="12BD0B79"/>
    <w:rsid w:val="12F1705F"/>
    <w:rsid w:val="13964AB6"/>
    <w:rsid w:val="14662C92"/>
    <w:rsid w:val="14951DE3"/>
    <w:rsid w:val="1531397D"/>
    <w:rsid w:val="15457974"/>
    <w:rsid w:val="15B16CC8"/>
    <w:rsid w:val="166E18C4"/>
    <w:rsid w:val="17B473EF"/>
    <w:rsid w:val="17C72E28"/>
    <w:rsid w:val="18EF4795"/>
    <w:rsid w:val="197B1895"/>
    <w:rsid w:val="1B521EF7"/>
    <w:rsid w:val="1C0866B3"/>
    <w:rsid w:val="1C236EF9"/>
    <w:rsid w:val="1C7B70D8"/>
    <w:rsid w:val="1D0973A2"/>
    <w:rsid w:val="1E9842A1"/>
    <w:rsid w:val="1F374263"/>
    <w:rsid w:val="1FAB34B9"/>
    <w:rsid w:val="20110726"/>
    <w:rsid w:val="206F32EA"/>
    <w:rsid w:val="209200D1"/>
    <w:rsid w:val="223C4952"/>
    <w:rsid w:val="22A47914"/>
    <w:rsid w:val="22E431AB"/>
    <w:rsid w:val="23841888"/>
    <w:rsid w:val="249463D9"/>
    <w:rsid w:val="24A55955"/>
    <w:rsid w:val="25292288"/>
    <w:rsid w:val="25CE71A2"/>
    <w:rsid w:val="273E3922"/>
    <w:rsid w:val="297D6BF7"/>
    <w:rsid w:val="29C80A2E"/>
    <w:rsid w:val="29D71176"/>
    <w:rsid w:val="2A88490C"/>
    <w:rsid w:val="2B0C0DD8"/>
    <w:rsid w:val="2C945A2D"/>
    <w:rsid w:val="2D30010B"/>
    <w:rsid w:val="2DD129F9"/>
    <w:rsid w:val="2E7D732B"/>
    <w:rsid w:val="2FBD704B"/>
    <w:rsid w:val="30A2413E"/>
    <w:rsid w:val="30B9181C"/>
    <w:rsid w:val="30F62234"/>
    <w:rsid w:val="313030B0"/>
    <w:rsid w:val="316A0013"/>
    <w:rsid w:val="32A125C7"/>
    <w:rsid w:val="346821DB"/>
    <w:rsid w:val="35893E4A"/>
    <w:rsid w:val="3621693A"/>
    <w:rsid w:val="3741194E"/>
    <w:rsid w:val="37A21F91"/>
    <w:rsid w:val="380C5237"/>
    <w:rsid w:val="3882456A"/>
    <w:rsid w:val="38936093"/>
    <w:rsid w:val="38FC0299"/>
    <w:rsid w:val="391C112A"/>
    <w:rsid w:val="397C66F6"/>
    <w:rsid w:val="3ADA6D41"/>
    <w:rsid w:val="3BBE16E4"/>
    <w:rsid w:val="3C0E7BC8"/>
    <w:rsid w:val="3C917B63"/>
    <w:rsid w:val="3CE14FC6"/>
    <w:rsid w:val="3D2B5F35"/>
    <w:rsid w:val="3E1C23C2"/>
    <w:rsid w:val="3E701FF0"/>
    <w:rsid w:val="3EB5428C"/>
    <w:rsid w:val="42F304FD"/>
    <w:rsid w:val="42FA7FC7"/>
    <w:rsid w:val="45474056"/>
    <w:rsid w:val="461B21B5"/>
    <w:rsid w:val="462E5495"/>
    <w:rsid w:val="46D92AC4"/>
    <w:rsid w:val="47BE0791"/>
    <w:rsid w:val="48DB3B6B"/>
    <w:rsid w:val="4A316F47"/>
    <w:rsid w:val="4AFF5FAF"/>
    <w:rsid w:val="4BA2301D"/>
    <w:rsid w:val="4C2B4ED2"/>
    <w:rsid w:val="4C38434F"/>
    <w:rsid w:val="4C8C252C"/>
    <w:rsid w:val="4D656C24"/>
    <w:rsid w:val="4D6E49D9"/>
    <w:rsid w:val="4D87181E"/>
    <w:rsid w:val="4E9D0329"/>
    <w:rsid w:val="4F6D51FD"/>
    <w:rsid w:val="4FB455F5"/>
    <w:rsid w:val="50093820"/>
    <w:rsid w:val="515C314B"/>
    <w:rsid w:val="51A37C3F"/>
    <w:rsid w:val="51AD4125"/>
    <w:rsid w:val="542B3997"/>
    <w:rsid w:val="543072E4"/>
    <w:rsid w:val="54D82999"/>
    <w:rsid w:val="56752433"/>
    <w:rsid w:val="56821F59"/>
    <w:rsid w:val="56893490"/>
    <w:rsid w:val="56A87B44"/>
    <w:rsid w:val="57C753B6"/>
    <w:rsid w:val="57D77356"/>
    <w:rsid w:val="588F6D4C"/>
    <w:rsid w:val="59B66B91"/>
    <w:rsid w:val="5A7D51D9"/>
    <w:rsid w:val="5B0C66A8"/>
    <w:rsid w:val="5BAA6227"/>
    <w:rsid w:val="5CAD6AC6"/>
    <w:rsid w:val="5D397EC3"/>
    <w:rsid w:val="5E101844"/>
    <w:rsid w:val="5E4A5167"/>
    <w:rsid w:val="5FD81480"/>
    <w:rsid w:val="606F5614"/>
    <w:rsid w:val="60B45140"/>
    <w:rsid w:val="60B9474B"/>
    <w:rsid w:val="61854C7F"/>
    <w:rsid w:val="61D6504E"/>
    <w:rsid w:val="62BA6438"/>
    <w:rsid w:val="632D04C4"/>
    <w:rsid w:val="63CE7CF9"/>
    <w:rsid w:val="64482C14"/>
    <w:rsid w:val="64AB264E"/>
    <w:rsid w:val="64EC6DCA"/>
    <w:rsid w:val="64ED2770"/>
    <w:rsid w:val="65975D9A"/>
    <w:rsid w:val="66BA2C12"/>
    <w:rsid w:val="67BC2C2C"/>
    <w:rsid w:val="680B1C17"/>
    <w:rsid w:val="68490000"/>
    <w:rsid w:val="697A70F7"/>
    <w:rsid w:val="69841FF0"/>
    <w:rsid w:val="698F618D"/>
    <w:rsid w:val="6993132D"/>
    <w:rsid w:val="69BF5A42"/>
    <w:rsid w:val="6AD42532"/>
    <w:rsid w:val="6C614338"/>
    <w:rsid w:val="6CC61C70"/>
    <w:rsid w:val="6D535020"/>
    <w:rsid w:val="6E050DD4"/>
    <w:rsid w:val="6E2E60DC"/>
    <w:rsid w:val="6EC37DA9"/>
    <w:rsid w:val="6F31654D"/>
    <w:rsid w:val="6F5D7321"/>
    <w:rsid w:val="6F9E1EB2"/>
    <w:rsid w:val="6FAD0E7D"/>
    <w:rsid w:val="70726F15"/>
    <w:rsid w:val="73DE3980"/>
    <w:rsid w:val="74CA1992"/>
    <w:rsid w:val="74EC5318"/>
    <w:rsid w:val="75D236EA"/>
    <w:rsid w:val="76B672AA"/>
    <w:rsid w:val="76C802F4"/>
    <w:rsid w:val="76D111F6"/>
    <w:rsid w:val="77EB68F6"/>
    <w:rsid w:val="783463B6"/>
    <w:rsid w:val="78875505"/>
    <w:rsid w:val="7922463B"/>
    <w:rsid w:val="79563580"/>
    <w:rsid w:val="799E062E"/>
    <w:rsid w:val="79A2472D"/>
    <w:rsid w:val="79C81F03"/>
    <w:rsid w:val="7A6E3BE7"/>
    <w:rsid w:val="7B26581B"/>
    <w:rsid w:val="7C14631B"/>
    <w:rsid w:val="7D2D5003"/>
    <w:rsid w:val="7DC206E6"/>
    <w:rsid w:val="7DFA71F8"/>
    <w:rsid w:val="7E222449"/>
    <w:rsid w:val="7E724885"/>
    <w:rsid w:val="7EC17CF0"/>
    <w:rsid w:val="7F6D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2"/>
    <w:qFormat/>
    <w:uiPriority w:val="0"/>
    <w:pPr>
      <w:keepNext/>
      <w:keepLines/>
      <w:numPr>
        <w:ilvl w:val="1"/>
        <w:numId w:val="1"/>
      </w:numPr>
      <w:spacing w:before="240" w:after="240" w:line="240" w:lineRule="atLeast"/>
      <w:outlineLvl w:val="1"/>
    </w:pPr>
    <w:rPr>
      <w:rFonts w:eastAsia="黑体"/>
      <w:b/>
      <w:kern w:val="1"/>
      <w:sz w:val="30"/>
      <w:szCs w:val="30"/>
      <w:lang w:val="zh-CN"/>
    </w:rPr>
  </w:style>
  <w:style w:type="paragraph" w:styleId="4">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customStyle="1" w:styleId="12">
    <w:name w:val="标题 2 Char"/>
    <w:link w:val="3"/>
    <w:qFormat/>
    <w:uiPriority w:val="0"/>
    <w:rPr>
      <w:rFonts w:eastAsia="黑体"/>
      <w:b/>
      <w:kern w:val="1"/>
      <w:sz w:val="30"/>
      <w:szCs w:val="30"/>
      <w:lang w:val="zh-CN"/>
    </w:rPr>
  </w:style>
  <w:style w:type="character" w:customStyle="1" w:styleId="13">
    <w:name w:val="font21"/>
    <w:basedOn w:val="11"/>
    <w:qFormat/>
    <w:uiPriority w:val="0"/>
    <w:rPr>
      <w:rFonts w:hint="eastAsia" w:ascii="宋体" w:hAnsi="宋体" w:eastAsia="宋体" w:cs="宋体"/>
      <w:color w:val="000000"/>
      <w:sz w:val="24"/>
      <w:szCs w:val="24"/>
      <w:u w:val="none"/>
    </w:rPr>
  </w:style>
  <w:style w:type="paragraph" w:styleId="14">
    <w:name w:val="List Paragraph"/>
    <w:basedOn w:val="1"/>
    <w:qFormat/>
    <w:uiPriority w:val="34"/>
    <w:pPr>
      <w:ind w:firstLine="420" w:firstLineChars="200"/>
    </w:pPr>
  </w:style>
  <w:style w:type="character" w:customStyle="1" w:styleId="15">
    <w:name w:val="标题 3 Char"/>
    <w:link w:val="4"/>
    <w:qFormat/>
    <w:uiPriority w:val="0"/>
    <w:rPr>
      <w:b/>
      <w:sz w:val="32"/>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 w:type="paragraph" w:customStyle="1" w:styleId="18">
    <w:name w:val="WPSOffice手动目录 3"/>
    <w:qFormat/>
    <w:uiPriority w:val="0"/>
    <w:pPr>
      <w:ind w:leftChars="400"/>
    </w:pPr>
    <w:rPr>
      <w:rFonts w:asciiTheme="minorHAnsi" w:hAnsiTheme="minorHAnsi" w:eastAsiaTheme="minorEastAsia" w:cstheme="minorBidi"/>
      <w:sz w:val="20"/>
      <w:szCs w:val="20"/>
    </w:rPr>
  </w:style>
  <w:style w:type="character" w:customStyle="1" w:styleId="1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27;\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23</Pages>
  <Words>9022</Words>
  <Characters>9603</Characters>
  <Lines>0</Lines>
  <Paragraphs>0</Paragraphs>
  <TotalTime>24</TotalTime>
  <ScaleCrop>false</ScaleCrop>
  <LinksUpToDate>false</LinksUpToDate>
  <CharactersWithSpaces>9909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2020-03-19T13:44:00Z</dcterms:created>
  <dc:creator>欣</dc:creator>
  <cp:lastModifiedBy>Admin</cp:lastModifiedBy>
  <cp:lastPrinted>2022-09-28T00:52:56Z</cp:lastPrinted>
  <dcterms:modified xsi:type="dcterms:W3CDTF">2022-09-28T00:54:58Z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D34BD8976E194E0A9A4B7FECB2C483A6</vt:lpwstr>
  </property>
</Properties>
</file>