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jc w:val="center"/>
        <w:rPr>
          <w:color w:val="000000"/>
        </w:rPr>
      </w:pPr>
      <w:r>
        <w:rPr>
          <w:rStyle w:val="5"/>
          <w:rFonts w:hint="eastAsia" w:ascii="宋体" w:hAnsi="宋体" w:eastAsia="宋体"/>
          <w:color w:val="000000"/>
          <w:sz w:val="48"/>
          <w:szCs w:val="48"/>
        </w:rPr>
        <w:t>益阳市资阳区城市管理和综合执法局2021年部门预算公开说明</w:t>
      </w:r>
      <w:r>
        <w:rPr>
          <w:rFonts w:hint="eastAsia"/>
          <w:color w:val="000000"/>
        </w:rPr>
        <w:t xml:space="preserve"> </w:t>
      </w:r>
    </w:p>
    <w:p>
      <w:pPr>
        <w:spacing w:after="2"/>
        <w:jc w:val="center"/>
        <w:rPr>
          <w:rFonts w:hint="eastAsia"/>
          <w:color w:val="000000"/>
        </w:rPr>
      </w:pPr>
      <w:r>
        <w:rPr>
          <w:rFonts w:hint="eastAsia" w:ascii="宋体" w:hAnsi="宋体" w:eastAsia="宋体"/>
          <w:color w:val="000000"/>
          <w:sz w:val="32"/>
          <w:szCs w:val="32"/>
        </w:rPr>
        <w:t> </w:t>
      </w:r>
      <w:r>
        <w:rPr>
          <w:rFonts w:hint="eastAsia"/>
          <w:color w:val="000000"/>
        </w:rPr>
        <w:t xml:space="preserve"> </w:t>
      </w:r>
    </w:p>
    <w:p>
      <w:pPr>
        <w:spacing w:after="2"/>
        <w:jc w:val="center"/>
        <w:rPr>
          <w:rFonts w:hint="eastAsia"/>
          <w:color w:val="000000"/>
        </w:rPr>
      </w:pPr>
      <w:r>
        <w:rPr>
          <w:rStyle w:val="5"/>
          <w:rFonts w:hint="eastAsia" w:ascii="宋体" w:hAnsi="宋体" w:eastAsia="宋体" w:cs="Times New Roman"/>
          <w:color w:val="000000"/>
          <w:sz w:val="36"/>
          <w:szCs w:val="36"/>
        </w:rPr>
        <w:t>目 录</w:t>
      </w:r>
      <w:r>
        <w:rPr>
          <w:rFonts w:hint="eastAsia"/>
          <w:color w:val="000000"/>
        </w:rPr>
        <w:t xml:space="preserve"> </w:t>
      </w:r>
    </w:p>
    <w:p>
      <w:pPr>
        <w:spacing w:after="2"/>
        <w:ind w:firstLine="643"/>
        <w:rPr>
          <w:rFonts w:hint="eastAsia"/>
          <w:color w:val="000000"/>
        </w:rPr>
      </w:pPr>
      <w:r>
        <w:rPr>
          <w:rFonts w:hint="eastAsia" w:ascii="宋体" w:hAnsi="宋体" w:eastAsia="宋体"/>
          <w:b/>
          <w:bCs/>
          <w:color w:val="000000"/>
          <w:sz w:val="32"/>
          <w:szCs w:val="32"/>
        </w:rPr>
        <w:t>第一部分 2021年部门预算说明</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一、部门预算说明</w:t>
      </w:r>
    </w:p>
    <w:p>
      <w:pPr>
        <w:spacing w:after="2"/>
        <w:ind w:firstLine="643"/>
        <w:rPr>
          <w:rFonts w:hint="eastAsia"/>
          <w:color w:val="000000"/>
        </w:rPr>
      </w:pPr>
      <w:r>
        <w:rPr>
          <w:rFonts w:hint="eastAsia" w:ascii="宋体" w:hAnsi="宋体" w:eastAsia="宋体"/>
          <w:color w:val="000000"/>
          <w:sz w:val="32"/>
          <w:szCs w:val="32"/>
        </w:rPr>
        <w:t>（一）职能职责</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（二）机构设置</w:t>
      </w:r>
    </w:p>
    <w:p>
      <w:pPr>
        <w:spacing w:after="2"/>
        <w:ind w:firstLine="643"/>
        <w:rPr>
          <w:rFonts w:hint="eastAsia"/>
          <w:color w:val="000000"/>
        </w:rPr>
      </w:pPr>
      <w:r>
        <w:rPr>
          <w:rFonts w:hint="eastAsia" w:ascii="宋体" w:hAnsi="宋体" w:eastAsia="宋体"/>
          <w:color w:val="000000"/>
          <w:sz w:val="32"/>
          <w:szCs w:val="32"/>
        </w:rPr>
        <w:t>二、部门预算单位构成</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三、部门预算收支概况</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（一）收入预算</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（二）支出预算</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四、一般公共预算拨款支出预算</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（一）基本支出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（二）项目支出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五、机关运行及三公经费情况说明</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（一）机关运行经费情况</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（二）“三公”经费情况</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六、国有资产及政府采购情况说明</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（一）国有资产占用情况</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（二）政府采购安排情况</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七、政府性基金预算支出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八、预算绩效情况及其他重要事项</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九、名词解释</w:t>
      </w:r>
    </w:p>
    <w:p>
      <w:pPr>
        <w:spacing w:after="2"/>
        <w:ind w:firstLine="643"/>
        <w:rPr>
          <w:rFonts w:hint="eastAsia"/>
          <w:color w:val="000000"/>
        </w:rPr>
      </w:pPr>
      <w:r>
        <w:rPr>
          <w:rFonts w:hint="eastAsia" w:ascii="宋体" w:hAnsi="宋体" w:eastAsia="宋体"/>
          <w:b/>
          <w:bCs/>
          <w:color w:val="000000"/>
          <w:sz w:val="32"/>
          <w:szCs w:val="32"/>
        </w:rPr>
        <w:t>第二部分</w:t>
      </w:r>
      <w:r>
        <w:rPr>
          <w:rFonts w:ascii="font-size:16pt;" w:hAnsi="font-size:16pt;"/>
          <w:b/>
          <w:bCs/>
          <w:color w:val="000000"/>
        </w:rPr>
        <w:t xml:space="preserve"> </w:t>
      </w:r>
      <w:r>
        <w:rPr>
          <w:rFonts w:hint="eastAsia" w:ascii="宋体" w:hAnsi="宋体" w:eastAsia="宋体"/>
          <w:b/>
          <w:bCs/>
          <w:color w:val="000000"/>
          <w:sz w:val="32"/>
          <w:szCs w:val="32"/>
        </w:rPr>
        <w:t>2021年部门预算表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1、收支总表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2、收入总表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3、支出总表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4、分类汇总-部门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5、分类汇总-政府</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6、财政拨款收支总表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7、一般公共预算分类汇总-部门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8、一般公共预算分类汇总-政府</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9、政府性基金分类汇总-部门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10、政府基金分类汇总-政府</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11、一般公共预算基本支出预算表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12、工资福利和对个人-部门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13、工资福利和对个人-政府</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14、商品服务-部门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15、商品服务-政府</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16、工资福利和对个人（一般公共预算）-部门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17、工资福利和对个人（一般公共预算）-政府</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18、商品服务（一般公共预算）-部门</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19、商品服务（一般公共预算）-政府</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20、三公</w:t>
      </w:r>
      <w:r>
        <w:rPr>
          <w:rFonts w:hint="eastAsia"/>
          <w:color w:val="000000"/>
        </w:rPr>
        <w:t xml:space="preserve"> </w:t>
      </w:r>
    </w:p>
    <w:p>
      <w:pPr>
        <w:spacing w:after="2"/>
        <w:ind w:firstLine="643"/>
        <w:rPr>
          <w:rFonts w:hint="eastAsia"/>
          <w:color w:val="000000"/>
        </w:rPr>
      </w:pPr>
      <w:r>
        <w:rPr>
          <w:rStyle w:val="5"/>
          <w:rFonts w:hint="eastAsia" w:ascii="宋体" w:hAnsi="宋体" w:eastAsia="宋体"/>
          <w:color w:val="000000"/>
          <w:sz w:val="28"/>
          <w:szCs w:val="28"/>
        </w:rPr>
        <w:t>注：以上部门预算报表中，空表表示本部门无相关收支情况。</w:t>
      </w:r>
      <w:r>
        <w:rPr>
          <w:rFonts w:hint="eastAsia"/>
          <w:color w:val="000000"/>
        </w:rPr>
        <w:t xml:space="preserve"> </w:t>
      </w:r>
    </w:p>
    <w:p>
      <w:pPr>
        <w:spacing w:after="2"/>
        <w:ind w:firstLine="643"/>
        <w:rPr>
          <w:rFonts w:hint="eastAsia"/>
          <w:color w:val="000000"/>
        </w:rPr>
      </w:pPr>
    </w:p>
    <w:p>
      <w:pPr>
        <w:spacing w:after="2"/>
        <w:ind w:firstLine="643"/>
        <w:rPr>
          <w:rFonts w:hint="eastAsia"/>
          <w:color w:val="000000"/>
        </w:rPr>
      </w:pPr>
    </w:p>
    <w:p>
      <w:pPr>
        <w:spacing w:after="2"/>
        <w:ind w:firstLine="643"/>
        <w:rPr>
          <w:rFonts w:hint="eastAsia"/>
          <w:color w:val="000000"/>
        </w:rPr>
      </w:pPr>
    </w:p>
    <w:p>
      <w:pPr>
        <w:spacing w:after="2"/>
        <w:ind w:firstLine="643"/>
        <w:rPr>
          <w:rFonts w:hint="eastAsia"/>
          <w:color w:val="000000"/>
        </w:rPr>
      </w:pPr>
    </w:p>
    <w:p>
      <w:pPr>
        <w:spacing w:after="2"/>
        <w:jc w:val="center"/>
        <w:rPr>
          <w:rFonts w:hint="eastAsia"/>
          <w:color w:val="000000"/>
        </w:rPr>
      </w:pPr>
      <w:r>
        <w:rPr>
          <w:rStyle w:val="5"/>
          <w:rFonts w:hint="eastAsia" w:ascii="宋体" w:hAnsi="宋体" w:eastAsia="宋体" w:cs="Times New Roman"/>
          <w:color w:val="000000"/>
          <w:sz w:val="40"/>
          <w:szCs w:val="40"/>
        </w:rPr>
        <w:t>第一部分 2021年部门预算说明</w:t>
      </w:r>
      <w:r>
        <w:rPr>
          <w:rFonts w:hint="eastAsia"/>
          <w:color w:val="000000"/>
        </w:rPr>
        <w:t xml:space="preserve"> </w:t>
      </w:r>
    </w:p>
    <w:p>
      <w:pPr>
        <w:spacing w:after="2"/>
        <w:rPr>
          <w:rFonts w:hint="eastAsia"/>
          <w:color w:val="000000"/>
        </w:rPr>
      </w:pPr>
      <w:r>
        <w:rPr>
          <w:rFonts w:hint="eastAsia" w:ascii="宋体" w:hAnsi="宋体" w:eastAsia="宋体"/>
          <w:b/>
          <w:bCs/>
          <w:color w:val="000000"/>
          <w:sz w:val="32"/>
          <w:szCs w:val="32"/>
        </w:rPr>
        <w:t> </w:t>
      </w:r>
      <w:r>
        <w:rPr>
          <w:rFonts w:hint="eastAsia"/>
          <w:color w:val="000000"/>
        </w:rPr>
        <w:t xml:space="preserve"> </w:t>
      </w:r>
    </w:p>
    <w:p>
      <w:pPr>
        <w:spacing w:after="2"/>
        <w:ind w:firstLine="627"/>
        <w:rPr>
          <w:rFonts w:hint="eastAsia"/>
          <w:color w:val="000000"/>
        </w:rPr>
      </w:pPr>
      <w:r>
        <w:rPr>
          <w:rStyle w:val="5"/>
          <w:rFonts w:hint="eastAsia" w:ascii="宋体" w:hAnsi="宋体" w:eastAsia="宋体"/>
          <w:color w:val="000000"/>
          <w:sz w:val="32"/>
          <w:szCs w:val="32"/>
        </w:rPr>
        <w:t>一、部门基本概况</w:t>
      </w:r>
      <w:r>
        <w:rPr>
          <w:rFonts w:hint="eastAsia"/>
          <w:color w:val="000000"/>
        </w:rPr>
        <w:t xml:space="preserve"> </w:t>
      </w:r>
    </w:p>
    <w:p>
      <w:pPr>
        <w:spacing w:after="2"/>
        <w:ind w:firstLine="630"/>
        <w:rPr>
          <w:rFonts w:hint="eastAsia"/>
          <w:color w:val="000000"/>
        </w:rPr>
      </w:pPr>
      <w:r>
        <w:rPr>
          <w:rFonts w:hint="eastAsia" w:ascii="宋体" w:hAnsi="宋体" w:eastAsia="宋体"/>
          <w:b/>
          <w:bCs/>
          <w:color w:val="000000"/>
          <w:sz w:val="32"/>
          <w:szCs w:val="32"/>
        </w:rPr>
        <w:t>（一）职能职责</w:t>
      </w:r>
      <w:r>
        <w:rPr>
          <w:rFonts w:hint="eastAsia"/>
          <w:color w:val="000000"/>
        </w:rPr>
        <w:t xml:space="preserve"> </w:t>
      </w:r>
    </w:p>
    <w:p>
      <w:pPr>
        <w:spacing w:after="2"/>
        <w:ind w:firstLine="630"/>
        <w:rPr>
          <w:rFonts w:hint="eastAsia" w:ascii="Times New Roman" w:hAnsi="Times New Roman" w:cs="Times New Roman"/>
          <w:color w:val="000000"/>
          <w:sz w:val="32"/>
          <w:szCs w:val="32"/>
        </w:rPr>
      </w:pPr>
      <w:r>
        <w:rPr>
          <w:rFonts w:hint="eastAsia" w:ascii="宋体" w:hAnsi="宋体" w:eastAsia="宋体" w:cs="Times New Roman"/>
          <w:color w:val="000000"/>
          <w:sz w:val="32"/>
          <w:szCs w:val="32"/>
        </w:rPr>
        <w:t>1、贯彻执行城市管理和综合执法工作的方针政策和法律法规，深化城市管理综合行政执法体制改革，加强城市管理行政执法体系建设。</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2、负责指导、协调、监督和考核全区城市管理和综合执法工作。</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3、负责权限内市政公用设施监管维护、城市园林绿化设施建设维护管理。</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4、负责权限内门店招牌、侵占城市道路、城市公共空间秩序的管理。</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5、负责城市环境卫生管理。承担城区环境卫生清扫保洁、城市环境卫生基础设施建设维护管理和生活垃圾、餐厨垃圾、建筑垃圾的处置。推进垃圾分类工作。</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6、负责资阳中心城区村（居）民违法建设行为的查处。负责区级管辖规划控制区、乡镇规划控制区范围内的查违控违拆违工作，具体包括项目建设和村（居）民违法建设行为的查处。参与联合巡查管理，参与全区查违控违拆违综合管理、监督、检查和考核工作。</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7、负责全区禁限区域燃放烟花爆竹污染的监督管理和考核。负责焚烧垃圾、秸秆、落叶、城市焚烧沥青、塑料垃圾等产生烟尘污染和经营性餐饮业油烟污染的监督管理；负责社会生活噪声污染、建筑施工噪声污染、建筑施工扬尘污染、渣土扬尘污染管理。</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8、负责权限内交通管理方面的城市公共停车场、城市道路停车泊位收费管理。</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9、负责权限内应急管理方面设置在城市公园与广场的应急避难场所管理，城区路面与广场排渍排涝、城市道路与桥梁、园林绿化照明等应急保障处理。</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10、负责资阳区中心城区黑臭水体整治后维护管理的业务指导、监督和考核。</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11、负责权限内路灯电费的管理。</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12、负责区级管辖范围内“门前三包”责任制的监督和考核工作。</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13、负责区级智慧城市管理平台的建设、管理和维护工作。</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14、负责协助乡镇开展镇区秩序整治、空间治理、供水供气监管。负责农村生活垃圾转运。</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15、负责权限内渣土管理。</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16、负责在区级管辖范围内行使下列行政处罚权和相关行政强制权：1、违反建设法律法规规定的行政处罚；2、生态环境管理方面的社会生活噪声污染、建筑施工噪声污染、建筑施工扬尘污染、餐饮服务业油烟污染、露天烧烤污染、城市焚烧沥青塑料垃圾等烟尘和恶臭污染、露天焚烧秸秆落叶等烟尘污染等行政处罚权；3、市场监督管理方面的户外公共场所无照经营、违规设置户外广告、食品销售和流动摊点无证经营以及违法回收贩卖药品等行政处罚;4、公安交通管理方面的侵占城市道路、违法停放车辆等行政处罚；5、水利管理方面的向城市河道和水域倾倒废弃物、垃圾以及违规取土、城市河道和水域违法建筑物拆除等行政处罚。</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17、承担区城市管理委员会的日常工作。</w:t>
      </w:r>
      <w:r>
        <w:rPr>
          <w:rFonts w:ascii="Times New Roman" w:hAnsi="Times New Roman" w:cs="Times New Roman"/>
          <w:color w:val="000000"/>
          <w:sz w:val="32"/>
          <w:szCs w:val="32"/>
        </w:rPr>
        <w:t xml:space="preserve"> </w:t>
      </w:r>
    </w:p>
    <w:p>
      <w:pPr>
        <w:spacing w:after="2"/>
        <w:ind w:firstLine="630"/>
        <w:rPr>
          <w:rFonts w:ascii="Times New Roman" w:hAnsi="Times New Roman" w:cs="Times New Roman"/>
          <w:color w:val="000000"/>
          <w:sz w:val="32"/>
          <w:szCs w:val="32"/>
        </w:rPr>
      </w:pPr>
      <w:r>
        <w:rPr>
          <w:rFonts w:hint="eastAsia" w:ascii="宋体" w:hAnsi="宋体" w:eastAsia="宋体" w:cs="Times New Roman"/>
          <w:color w:val="000000"/>
          <w:sz w:val="32"/>
          <w:szCs w:val="32"/>
        </w:rPr>
        <w:t>18、完成区委、区政府、区城市管理委员会交办的其他任务。</w:t>
      </w:r>
      <w:r>
        <w:rPr>
          <w:rFonts w:ascii="Times New Roman" w:hAnsi="Times New Roman" w:cs="Times New Roman"/>
          <w:color w:val="000000"/>
          <w:sz w:val="32"/>
          <w:szCs w:val="32"/>
        </w:rPr>
        <w:t xml:space="preserve"> </w:t>
      </w:r>
    </w:p>
    <w:p>
      <w:pPr>
        <w:spacing w:after="2"/>
        <w:ind w:firstLine="630"/>
        <w:rPr>
          <w:color w:val="000000"/>
        </w:rPr>
      </w:pPr>
      <w:r>
        <w:rPr>
          <w:rFonts w:hint="eastAsia" w:ascii="宋体" w:hAnsi="宋体" w:eastAsia="宋体" w:cs="Times New Roman"/>
          <w:b/>
          <w:bCs/>
          <w:color w:val="000000"/>
          <w:sz w:val="32"/>
          <w:szCs w:val="32"/>
        </w:rPr>
        <w:t>（二）机构设置</w:t>
      </w:r>
      <w:r>
        <w:rPr>
          <w:rFonts w:hint="eastAsia"/>
          <w:color w:val="000000"/>
        </w:rPr>
        <w:t xml:space="preserve"> </w:t>
      </w:r>
    </w:p>
    <w:p>
      <w:pPr>
        <w:spacing w:after="2"/>
        <w:ind w:firstLine="630"/>
        <w:rPr>
          <w:rFonts w:hint="eastAsia"/>
          <w:color w:val="000000"/>
        </w:rPr>
      </w:pPr>
      <w:r>
        <w:rPr>
          <w:rFonts w:hint="eastAsia" w:ascii="宋体" w:hAnsi="宋体" w:eastAsia="宋体" w:cs="Times New Roman"/>
          <w:color w:val="000000"/>
          <w:sz w:val="32"/>
          <w:szCs w:val="32"/>
        </w:rPr>
        <w:t>益阳市资阳区城市管理和综合执法局内设机构包括：益阳市资阳区城市管理和综合执法局设5个股室，分别是办公室、法制股（督察股）、人事财务股、市容股（绿化股）、城市管理股，下设非独立核算二级机构城管直属大队、城市管理指挥中心。（一）内设机构 （1）办公室。协助领导组织、管理、协调机关日常工作；负责机关文电、会务、综合调研、机要、档案、政务公开、安全保密、后勤接待、综合治理和应急管理等工作；综合协调人大代表建议、政协委员提案办理工作；负责城市管理信息宣传和新闻发布等工作。 （2）法制股（督察股）。负责城市管理综合行政执法工作规范性文件的合法性审查；负责行政复议、听证、行政应诉和国家赔偿；负责行政执法监督，承办重大事项和行政处罚案件的法制审查；负责执法文书、执法案卷管理和执法统计工作；负责相关业务培训和业务指导；参与中心城区城市规划、建设、管理有关规划编制。负责牵头协调城市管理重大及跨区域综合执法行动；负责监督落实行政执法“三项制度”，负责城市管理执法队伍队容风纪督导纠察；负责城市管理案件处置督办。 （3）人事财务股。负责机关和直属单位的组织人事、机构编制、绩效考核等工作；会同有关部门管理职业技能岗位资格考试相关工作；负责离退休人员管理服务、关心下一代、工青妇团等工作。负责机关并指导直属单位财务、国有资产管理和内部审计工作；负责行政事业性收费的监督管理。 （4）市容股（绿化股）。负责权限内城市公共停车场、城市道路停车泊位收费管理，市政公用设施的运行管理和日常维护维修，负责园林绿化设施建设管理维护、路灯电费的管理等工作。 （5）城市管理股。负责区城市管理委员会办公室具体工作；负责全区城市管理综合协调与考核工作。指导、监督、考核中心城区烟花爆竹禁放工作。 （二）人员编制情况 1、区城管执法局机关核定行政编制5名。领导职数：局长1名，副局长3名；内设机构负责人5名。 2、区城管执法局直属大队核定全额拨款事业编制36名，设大队长1名，副大队长3名。 3、区城市管理指挥中心核定全额拨款事业编制4名，设主任1名。 （三）在编在职人员情况 1、区城管执法局机关实有在编在职人员5人，其中，局长1人，副局长3人，内设机构负责人5名（从二级机构抽调）。 2、区城管执法局直属大队实有在编在职人员34人（经费包干）。 3、区城市管理指挥中心实有在编在职人员2人。</w:t>
      </w:r>
      <w:r>
        <w:rPr>
          <w:rFonts w:hint="eastAsia"/>
          <w:color w:val="000000"/>
        </w:rPr>
        <w:t xml:space="preserve"> </w:t>
      </w:r>
    </w:p>
    <w:p>
      <w:pPr>
        <w:spacing w:after="2"/>
        <w:ind w:firstLine="627"/>
        <w:rPr>
          <w:rFonts w:hint="eastAsia"/>
          <w:color w:val="000000"/>
        </w:rPr>
      </w:pPr>
      <w:r>
        <w:rPr>
          <w:rStyle w:val="5"/>
          <w:rFonts w:hint="eastAsia" w:ascii="宋体" w:hAnsi="宋体" w:eastAsia="宋体"/>
          <w:color w:val="000000"/>
          <w:sz w:val="32"/>
          <w:szCs w:val="32"/>
        </w:rPr>
        <w:t>二、部门预算单位构成</w:t>
      </w:r>
      <w:r>
        <w:rPr>
          <w:rFonts w:hint="eastAsia"/>
          <w:color w:val="000000"/>
        </w:rPr>
        <w:t xml:space="preserve"> </w:t>
      </w:r>
    </w:p>
    <w:p>
      <w:pPr>
        <w:spacing w:after="2"/>
        <w:ind w:firstLine="627"/>
        <w:rPr>
          <w:rFonts w:hint="eastAsia"/>
          <w:color w:val="000000"/>
        </w:rPr>
      </w:pPr>
      <w:r>
        <w:rPr>
          <w:rFonts w:hint="eastAsia" w:ascii="宋体" w:hAnsi="宋体" w:eastAsia="宋体"/>
          <w:color w:val="000000"/>
          <w:sz w:val="32"/>
          <w:szCs w:val="32"/>
        </w:rPr>
        <w:t>益阳市资阳区城市管理和综合执法局只有本级，没有其他预算单位，纳入编制范围的预算单位仅含益阳市资阳区城市管理和综合执法局。</w:t>
      </w:r>
      <w:r>
        <w:rPr>
          <w:rFonts w:hint="eastAsia"/>
          <w:color w:val="000000"/>
        </w:rPr>
        <w:t xml:space="preserve"> </w:t>
      </w:r>
    </w:p>
    <w:p>
      <w:pPr>
        <w:spacing w:after="2"/>
        <w:ind w:firstLine="627"/>
        <w:rPr>
          <w:rFonts w:hint="eastAsia"/>
          <w:color w:val="000000"/>
        </w:rPr>
      </w:pPr>
      <w:r>
        <w:rPr>
          <w:rStyle w:val="5"/>
          <w:rFonts w:hint="eastAsia" w:ascii="宋体" w:hAnsi="宋体" w:eastAsia="宋体"/>
          <w:color w:val="000000"/>
          <w:sz w:val="32"/>
          <w:szCs w:val="32"/>
        </w:rPr>
        <w:t>三、部门收支总体情况</w:t>
      </w:r>
      <w:r>
        <w:rPr>
          <w:rFonts w:hint="eastAsia"/>
          <w:color w:val="000000"/>
        </w:rPr>
        <w:t xml:space="preserve"> </w:t>
      </w:r>
    </w:p>
    <w:p>
      <w:pPr>
        <w:spacing w:after="2"/>
        <w:ind w:firstLine="630"/>
        <w:rPr>
          <w:rFonts w:hint="eastAsia"/>
          <w:color w:val="000000"/>
        </w:rPr>
      </w:pPr>
      <w:r>
        <w:rPr>
          <w:rFonts w:hint="eastAsia" w:ascii="宋体" w:hAnsi="宋体" w:eastAsia="宋体"/>
          <w:b/>
          <w:bCs/>
          <w:color w:val="000000"/>
          <w:sz w:val="32"/>
          <w:szCs w:val="32"/>
        </w:rPr>
        <w:t>（一）收入预算：</w:t>
      </w:r>
      <w:r>
        <w:rPr>
          <w:rFonts w:hint="eastAsia" w:ascii="宋体" w:hAnsi="宋体" w:eastAsia="宋体" w:cs="Times New Roman"/>
          <w:color w:val="000000"/>
          <w:sz w:val="32"/>
          <w:szCs w:val="32"/>
        </w:rPr>
        <w:t>包括一般公共预算、政府性基金、国有资本经营预算等财政拨款收入，以及经营收入、事业收入等单位资金。2021年本部门收入预算469.53</w:t>
      </w:r>
      <w:r>
        <w:rPr>
          <w:rFonts w:hint="eastAsia" w:ascii="宋体" w:hAnsi="宋体" w:eastAsia="宋体"/>
          <w:color w:val="000000"/>
          <w:sz w:val="32"/>
          <w:szCs w:val="32"/>
        </w:rPr>
        <w:t>万元，其中，一般公共预算拨款444.52万元，政府性基金预算拨款0万元，纳入专户管理的非税收入拨款0万元，其他收入25.01万元。收入较去年减少93.01万元，主要原因是</w:t>
      </w:r>
      <w:r>
        <w:rPr>
          <w:rStyle w:val="9"/>
          <w:rFonts w:hint="eastAsia" w:ascii="宋体" w:hAnsi="宋体" w:eastAsia="宋体"/>
          <w:color w:val="000000"/>
          <w:sz w:val="32"/>
          <w:szCs w:val="32"/>
        </w:rPr>
        <w:t>压缩了公务用车运行维护费、人员减少等各项支出费用</w:t>
      </w:r>
      <w:r>
        <w:rPr>
          <w:rFonts w:hint="eastAsia" w:ascii="宋体" w:hAnsi="宋体" w:eastAsia="宋体"/>
          <w:color w:val="000000"/>
          <w:sz w:val="32"/>
          <w:szCs w:val="32"/>
        </w:rPr>
        <w:t>。</w:t>
      </w:r>
      <w:r>
        <w:rPr>
          <w:rFonts w:hint="eastAsia"/>
          <w:color w:val="000000"/>
        </w:rPr>
        <w:t xml:space="preserve"> </w:t>
      </w:r>
    </w:p>
    <w:p>
      <w:pPr>
        <w:spacing w:after="2"/>
        <w:ind w:firstLine="630"/>
        <w:rPr>
          <w:rFonts w:hint="eastAsia"/>
          <w:color w:val="000000"/>
        </w:rPr>
      </w:pPr>
      <w:r>
        <w:rPr>
          <w:rFonts w:hint="eastAsia" w:ascii="宋体" w:hAnsi="宋体" w:eastAsia="宋体"/>
          <w:b/>
          <w:bCs/>
          <w:color w:val="000000"/>
          <w:sz w:val="32"/>
          <w:szCs w:val="32"/>
        </w:rPr>
        <w:t>（二）支出预算：</w:t>
      </w:r>
      <w:r>
        <w:rPr>
          <w:rFonts w:hint="eastAsia" w:ascii="宋体" w:hAnsi="宋体" w:eastAsia="宋体" w:cs="Times New Roman"/>
          <w:color w:val="000000"/>
          <w:sz w:val="32"/>
          <w:szCs w:val="32"/>
        </w:rPr>
        <w:t>2021年本部门支出预算469.53</w:t>
      </w:r>
      <w:r>
        <w:rPr>
          <w:rFonts w:hint="eastAsia" w:ascii="宋体" w:hAnsi="宋体" w:eastAsia="宋体"/>
          <w:color w:val="000000"/>
          <w:sz w:val="32"/>
          <w:szCs w:val="32"/>
        </w:rPr>
        <w:t>万元，其中：社会保障和就业支出7.25万元；卫生健康支出9.77万元；城乡社区支出447.27万元；住房保障支出5.24万元。支出较去年减少93.01万元，主要原因是</w:t>
      </w:r>
      <w:r>
        <w:rPr>
          <w:rStyle w:val="9"/>
          <w:rFonts w:hint="eastAsia" w:ascii="宋体" w:hAnsi="宋体" w:eastAsia="宋体"/>
          <w:color w:val="000000"/>
          <w:sz w:val="32"/>
          <w:szCs w:val="32"/>
        </w:rPr>
        <w:t>压缩了公务用车运行维护费、人员减少等各项支出费用</w:t>
      </w:r>
      <w:r>
        <w:rPr>
          <w:rFonts w:hint="eastAsia" w:ascii="宋体" w:hAnsi="宋体" w:eastAsia="宋体"/>
          <w:color w:val="000000"/>
          <w:sz w:val="32"/>
          <w:szCs w:val="32"/>
        </w:rPr>
        <w:t>。</w:t>
      </w:r>
      <w:r>
        <w:rPr>
          <w:rFonts w:hint="eastAsia"/>
          <w:color w:val="000000"/>
        </w:rPr>
        <w:t xml:space="preserve"> </w:t>
      </w:r>
    </w:p>
    <w:p>
      <w:pPr>
        <w:spacing w:after="2"/>
        <w:ind w:firstLine="660"/>
        <w:rPr>
          <w:rFonts w:hint="eastAsia"/>
          <w:color w:val="000000"/>
        </w:rPr>
      </w:pPr>
      <w:r>
        <w:rPr>
          <w:rStyle w:val="5"/>
          <w:rFonts w:hint="eastAsia" w:ascii="宋体" w:hAnsi="宋体" w:eastAsia="宋体"/>
          <w:color w:val="000000"/>
          <w:sz w:val="32"/>
          <w:szCs w:val="32"/>
        </w:rPr>
        <w:t>四、一般公共预算拨款支出</w:t>
      </w:r>
      <w:r>
        <w:rPr>
          <w:rFonts w:hint="eastAsia"/>
          <w:color w:val="000000"/>
        </w:rPr>
        <w:t xml:space="preserve"> </w:t>
      </w:r>
    </w:p>
    <w:p>
      <w:pPr>
        <w:spacing w:after="2"/>
        <w:ind w:firstLine="660"/>
        <w:rPr>
          <w:rFonts w:hint="eastAsia"/>
          <w:color w:val="000000"/>
        </w:rPr>
      </w:pPr>
      <w:r>
        <w:rPr>
          <w:rFonts w:hint="eastAsia" w:ascii="宋体" w:hAnsi="宋体" w:eastAsia="宋体" w:cs="Times New Roman"/>
          <w:color w:val="000000"/>
          <w:sz w:val="32"/>
          <w:szCs w:val="32"/>
        </w:rPr>
        <w:t>2021年本部门一般公共预算拨款支出预算444.52</w:t>
      </w:r>
      <w:r>
        <w:rPr>
          <w:rFonts w:hint="eastAsia" w:ascii="宋体" w:hAnsi="宋体" w:eastAsia="宋体"/>
          <w:color w:val="000000"/>
          <w:sz w:val="32"/>
          <w:szCs w:val="32"/>
        </w:rPr>
        <w:t>万元，具体安排情况如下：</w:t>
      </w:r>
      <w:r>
        <w:rPr>
          <w:rFonts w:hint="eastAsia"/>
          <w:color w:val="000000"/>
        </w:rPr>
        <w:t xml:space="preserve"> </w:t>
      </w:r>
    </w:p>
    <w:p>
      <w:pPr>
        <w:spacing w:after="2"/>
        <w:ind w:firstLine="660"/>
        <w:rPr>
          <w:rFonts w:hint="eastAsia"/>
          <w:color w:val="000000"/>
        </w:rPr>
      </w:pPr>
      <w:r>
        <w:rPr>
          <w:rFonts w:hint="eastAsia" w:ascii="宋体" w:hAnsi="宋体" w:eastAsia="宋体"/>
          <w:b/>
          <w:bCs/>
          <w:color w:val="000000"/>
          <w:sz w:val="32"/>
          <w:szCs w:val="32"/>
        </w:rPr>
        <w:t>（一）基本支出：</w:t>
      </w:r>
      <w:r>
        <w:rPr>
          <w:rFonts w:hint="eastAsia" w:ascii="宋体" w:hAnsi="宋体" w:eastAsia="宋体" w:cs="Times New Roman"/>
          <w:color w:val="000000"/>
          <w:sz w:val="32"/>
          <w:szCs w:val="32"/>
        </w:rPr>
        <w:t>2021年本部门基本支出预算356.52</w:t>
      </w:r>
      <w:r>
        <w:rPr>
          <w:rFonts w:hint="eastAsia" w:ascii="宋体" w:hAnsi="宋体" w:eastAsia="宋体"/>
          <w:color w:val="000000"/>
          <w:sz w:val="32"/>
          <w:szCs w:val="32"/>
        </w:rPr>
        <w:t>万元，主要是为保障部门正常运转、完成日常工作任务而发生的各项支出，包括用于基本工资、津贴补贴等人员经费以及办公费、印刷费、水电费、办公设备购置等公用经费。</w:t>
      </w:r>
      <w:r>
        <w:rPr>
          <w:rFonts w:hint="eastAsia"/>
          <w:color w:val="000000"/>
        </w:rPr>
        <w:t xml:space="preserve"> </w:t>
      </w:r>
    </w:p>
    <w:p>
      <w:pPr>
        <w:spacing w:after="2"/>
        <w:ind w:firstLine="660"/>
        <w:rPr>
          <w:rFonts w:hint="eastAsia"/>
          <w:color w:val="000000"/>
        </w:rPr>
      </w:pPr>
      <w:r>
        <w:rPr>
          <w:rFonts w:hint="eastAsia" w:ascii="宋体" w:hAnsi="宋体" w:eastAsia="宋体"/>
          <w:b/>
          <w:bCs/>
          <w:color w:val="000000"/>
          <w:sz w:val="32"/>
          <w:szCs w:val="32"/>
        </w:rPr>
        <w:t>（二）项目支出：</w:t>
      </w:r>
      <w:r>
        <w:rPr>
          <w:rFonts w:hint="eastAsia" w:ascii="宋体" w:hAnsi="宋体" w:eastAsia="宋体" w:cs="Times New Roman"/>
          <w:color w:val="000000"/>
          <w:sz w:val="32"/>
          <w:szCs w:val="32"/>
        </w:rPr>
        <w:t>2021年本部门项目支出预算88</w:t>
      </w:r>
      <w:r>
        <w:rPr>
          <w:rFonts w:hint="eastAsia" w:ascii="宋体" w:hAnsi="宋体" w:eastAsia="宋体"/>
          <w:color w:val="000000"/>
          <w:sz w:val="32"/>
          <w:szCs w:val="32"/>
        </w:rPr>
        <w:t>万元，主要是部门为完成特定行政工作任务或事业发展目标而发生的支出，包括有关事业发展专项、专项业务费、基本建设支出等，其中：</w:t>
      </w:r>
      <w:r>
        <w:rPr>
          <w:rFonts w:hint="eastAsia" w:ascii="宋体" w:hAnsi="宋体" w:eastAsia="宋体" w:cs="Times New Roman"/>
          <w:color w:val="000000"/>
          <w:sz w:val="32"/>
          <w:szCs w:val="32"/>
        </w:rPr>
        <w:t>其他支出88万元，主要用于</w:t>
      </w:r>
      <w:r>
        <w:rPr>
          <w:rStyle w:val="9"/>
          <w:rFonts w:hint="eastAsia" w:ascii="宋体" w:hAnsi="宋体" w:eastAsia="宋体" w:cs="Times New Roman"/>
          <w:color w:val="000000"/>
          <w:sz w:val="32"/>
          <w:szCs w:val="32"/>
        </w:rPr>
        <w:t>国卫长效管理经费支出80万元，用于国家卫生城市复审迎检；工作经费8万元，主要用于权限内市政公用设施监管维护、园林绿化维护、中心城区黑臭水体整治后的监督管理、城区路面与广场排渍排涝工作</w:t>
      </w:r>
      <w:r>
        <w:rPr>
          <w:rFonts w:hint="eastAsia" w:ascii="宋体" w:hAnsi="宋体" w:eastAsia="宋体" w:cs="Times New Roman"/>
          <w:color w:val="000000"/>
          <w:sz w:val="32"/>
          <w:szCs w:val="32"/>
        </w:rPr>
        <w:t>等方面。</w:t>
      </w:r>
    </w:p>
    <w:p>
      <w:pPr>
        <w:spacing w:after="2"/>
        <w:ind w:firstLine="660"/>
        <w:rPr>
          <w:rFonts w:hint="eastAsia"/>
          <w:color w:val="000000"/>
        </w:rPr>
      </w:pPr>
      <w:r>
        <w:rPr>
          <w:rStyle w:val="5"/>
          <w:rFonts w:hint="eastAsia" w:ascii="宋体" w:hAnsi="宋体" w:eastAsia="宋体"/>
          <w:color w:val="000000"/>
          <w:sz w:val="32"/>
          <w:szCs w:val="32"/>
        </w:rPr>
        <w:t>五、机关运行及三公经费情况说明</w:t>
      </w:r>
      <w:r>
        <w:rPr>
          <w:rFonts w:hint="eastAsia"/>
          <w:color w:val="000000"/>
        </w:rPr>
        <w:t xml:space="preserve"> </w:t>
      </w:r>
    </w:p>
    <w:p>
      <w:pPr>
        <w:spacing w:after="2"/>
        <w:ind w:firstLine="660"/>
        <w:rPr>
          <w:rFonts w:hint="eastAsia"/>
          <w:color w:val="000000"/>
        </w:rPr>
      </w:pPr>
      <w:r>
        <w:rPr>
          <w:rFonts w:hint="eastAsia" w:ascii="宋体" w:hAnsi="宋体" w:eastAsia="宋体"/>
          <w:b/>
          <w:bCs/>
          <w:color w:val="000000"/>
          <w:sz w:val="32"/>
          <w:szCs w:val="32"/>
        </w:rPr>
        <w:t>（一）机关运行经费情况</w:t>
      </w:r>
    </w:p>
    <w:p>
      <w:pPr>
        <w:spacing w:after="2"/>
        <w:ind w:firstLine="660"/>
        <w:rPr>
          <w:rFonts w:hint="eastAsia"/>
          <w:color w:val="000000"/>
        </w:rPr>
      </w:pPr>
      <w:r>
        <w:rPr>
          <w:rFonts w:hint="eastAsia" w:ascii="宋体" w:hAnsi="宋体" w:eastAsia="宋体"/>
          <w:color w:val="000000"/>
          <w:sz w:val="32"/>
          <w:szCs w:val="32"/>
        </w:rPr>
        <w:t>2021年本部门机关运行经费9.68万元，比上年预算减少0.9万元，比上年预算下降8.51%，主要是</w:t>
      </w:r>
      <w:r>
        <w:rPr>
          <w:rStyle w:val="9"/>
          <w:rFonts w:hint="eastAsia" w:ascii="宋体" w:hAnsi="宋体" w:eastAsia="宋体"/>
          <w:color w:val="000000"/>
          <w:sz w:val="32"/>
          <w:szCs w:val="32"/>
        </w:rPr>
        <w:t>4台执法执勤车辆的运行维护，其他交通费（借调公务用车），办公费，公务接待等</w:t>
      </w:r>
      <w:r>
        <w:rPr>
          <w:rFonts w:hint="eastAsia" w:ascii="宋体" w:hAnsi="宋体" w:eastAsia="宋体"/>
          <w:color w:val="000000"/>
          <w:sz w:val="32"/>
          <w:szCs w:val="32"/>
        </w:rPr>
        <w:t>。</w:t>
      </w:r>
      <w:r>
        <w:rPr>
          <w:rFonts w:hint="eastAsia"/>
          <w:color w:val="000000"/>
        </w:rPr>
        <w:t xml:space="preserve"> </w:t>
      </w:r>
    </w:p>
    <w:p>
      <w:pPr>
        <w:spacing w:after="2"/>
        <w:ind w:firstLine="660"/>
        <w:rPr>
          <w:rFonts w:hint="eastAsia"/>
          <w:color w:val="000000"/>
        </w:rPr>
      </w:pPr>
      <w:r>
        <w:rPr>
          <w:rFonts w:hint="eastAsia" w:ascii="宋体" w:hAnsi="宋体" w:eastAsia="宋体"/>
          <w:b/>
          <w:bCs/>
          <w:color w:val="000000"/>
          <w:sz w:val="32"/>
          <w:szCs w:val="32"/>
        </w:rPr>
        <w:t>（二）“三公”经费情况</w:t>
      </w:r>
    </w:p>
    <w:p>
      <w:pPr>
        <w:spacing w:after="2"/>
        <w:ind w:firstLine="660"/>
        <w:rPr>
          <w:rFonts w:hint="eastAsia"/>
          <w:color w:val="000000"/>
        </w:rPr>
      </w:pPr>
      <w:r>
        <w:rPr>
          <w:rFonts w:hint="eastAsia" w:ascii="宋体" w:hAnsi="宋体" w:eastAsia="宋体"/>
          <w:color w:val="000000"/>
          <w:sz w:val="32"/>
          <w:szCs w:val="32"/>
        </w:rPr>
        <w:t>2021年本部门“三公”经费预算数为</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万元，其中：经费拨款</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万元，分别为公务接待费</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万元，公务用车购置</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万元，公务用车运行维护费</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万元，因公出国（境）费</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万元；纳入公共预算管理的非税收入拨款</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万元，分别为公务接待费</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万元，公务用车购置</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万元，公务用车运行维护费</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万元，因公出国（境）费</w:t>
      </w:r>
      <w:r>
        <w:rPr>
          <w:rFonts w:hint="eastAsia" w:ascii="宋体" w:hAnsi="宋体" w:eastAsia="宋体" w:cs="Times New Roman"/>
          <w:color w:val="000000"/>
          <w:sz w:val="32"/>
          <w:szCs w:val="32"/>
        </w:rPr>
        <w:t>0</w:t>
      </w:r>
      <w:r>
        <w:rPr>
          <w:rFonts w:hint="eastAsia" w:ascii="宋体" w:hAnsi="宋体" w:eastAsia="宋体"/>
          <w:color w:val="000000"/>
          <w:sz w:val="32"/>
          <w:szCs w:val="32"/>
        </w:rPr>
        <w:t>万元。2021年“三公”经费预算较上年持平。</w:t>
      </w:r>
      <w:r>
        <w:rPr>
          <w:rFonts w:hint="eastAsia"/>
          <w:color w:val="000000"/>
        </w:rPr>
        <w:t xml:space="preserve"> </w:t>
      </w:r>
    </w:p>
    <w:p>
      <w:pPr>
        <w:spacing w:after="2"/>
        <w:ind w:firstLine="660"/>
        <w:rPr>
          <w:rFonts w:hint="eastAsia"/>
          <w:color w:val="000000"/>
        </w:rPr>
      </w:pPr>
      <w:r>
        <w:rPr>
          <w:rFonts w:hint="eastAsia" w:ascii="宋体" w:hAnsi="宋体" w:eastAsia="宋体"/>
          <w:b/>
          <w:bCs/>
          <w:color w:val="000000"/>
          <w:sz w:val="32"/>
          <w:szCs w:val="32"/>
        </w:rPr>
        <w:t>六、国有资产及政府采购情况说明</w:t>
      </w:r>
    </w:p>
    <w:p>
      <w:pPr>
        <w:spacing w:after="2"/>
        <w:ind w:firstLine="643"/>
        <w:rPr>
          <w:rFonts w:hint="eastAsia"/>
          <w:color w:val="000000"/>
        </w:rPr>
      </w:pPr>
      <w:r>
        <w:rPr>
          <w:rFonts w:hint="eastAsia" w:ascii="宋体" w:hAnsi="宋体" w:eastAsia="宋体"/>
          <w:b/>
          <w:bCs/>
          <w:color w:val="000000"/>
          <w:sz w:val="32"/>
          <w:szCs w:val="32"/>
        </w:rPr>
        <w:t>（一）国有资产占用情况</w:t>
      </w:r>
      <w:r>
        <w:rPr>
          <w:rFonts w:hint="eastAsia"/>
          <w:color w:val="000000"/>
        </w:rPr>
        <w:t xml:space="preserve"> </w:t>
      </w:r>
    </w:p>
    <w:p>
      <w:pPr>
        <w:spacing w:after="2"/>
        <w:ind w:firstLine="643"/>
        <w:rPr>
          <w:rFonts w:hint="eastAsia"/>
          <w:color w:val="000000"/>
        </w:rPr>
      </w:pPr>
      <w:r>
        <w:rPr>
          <w:rFonts w:hint="eastAsia" w:ascii="宋体" w:hAnsi="宋体" w:eastAsia="宋体" w:cs="Times New Roman"/>
          <w:color w:val="000000"/>
          <w:sz w:val="32"/>
          <w:szCs w:val="32"/>
        </w:rPr>
        <w:t>截至2020年12月底，本部门</w:t>
      </w:r>
      <w:r>
        <w:rPr>
          <w:rFonts w:hint="eastAsia" w:ascii="宋体" w:hAnsi="宋体" w:eastAsia="宋体"/>
          <w:color w:val="000000"/>
          <w:sz w:val="32"/>
          <w:szCs w:val="32"/>
        </w:rPr>
        <w:t>共有车</w:t>
      </w:r>
      <w:r>
        <w:rPr>
          <w:rFonts w:hint="eastAsia" w:ascii="宋体" w:hAnsi="宋体" w:eastAsia="宋体"/>
          <w:color w:val="000000"/>
          <w:sz w:val="32"/>
          <w:szCs w:val="32"/>
          <w:lang w:eastAsia="zh-CN"/>
        </w:rPr>
        <w:t>辆</w:t>
      </w:r>
      <w:bookmarkStart w:id="0" w:name="_GoBack"/>
      <w:bookmarkEnd w:id="0"/>
      <w:r>
        <w:rPr>
          <w:rStyle w:val="9"/>
          <w:rFonts w:hint="eastAsia" w:ascii="宋体" w:hAnsi="宋体" w:eastAsia="宋体"/>
          <w:color w:val="000000"/>
          <w:sz w:val="32"/>
          <w:szCs w:val="32"/>
        </w:rPr>
        <w:t>4</w:t>
      </w:r>
      <w:r>
        <w:rPr>
          <w:rFonts w:hint="eastAsia" w:ascii="宋体" w:hAnsi="宋体" w:eastAsia="宋体"/>
          <w:color w:val="000000"/>
          <w:sz w:val="32"/>
          <w:szCs w:val="32"/>
        </w:rPr>
        <w:t>辆，其中，机要通信用车</w:t>
      </w:r>
      <w:r>
        <w:rPr>
          <w:rStyle w:val="9"/>
          <w:rFonts w:hint="eastAsia" w:ascii="宋体" w:hAnsi="宋体" w:eastAsia="宋体"/>
          <w:color w:val="000000"/>
          <w:sz w:val="32"/>
          <w:szCs w:val="32"/>
        </w:rPr>
        <w:t>0</w:t>
      </w:r>
      <w:r>
        <w:rPr>
          <w:rFonts w:hint="eastAsia" w:ascii="宋体" w:hAnsi="宋体" w:eastAsia="宋体"/>
          <w:color w:val="000000"/>
          <w:sz w:val="32"/>
          <w:szCs w:val="32"/>
        </w:rPr>
        <w:t>辆，应急保障用车</w:t>
      </w:r>
      <w:r>
        <w:rPr>
          <w:rStyle w:val="9"/>
          <w:rFonts w:hint="eastAsia" w:ascii="宋体" w:hAnsi="宋体" w:eastAsia="宋体"/>
          <w:color w:val="000000"/>
          <w:sz w:val="32"/>
          <w:szCs w:val="32"/>
        </w:rPr>
        <w:t>0</w:t>
      </w:r>
      <w:r>
        <w:rPr>
          <w:rFonts w:hint="eastAsia" w:ascii="宋体" w:hAnsi="宋体" w:eastAsia="宋体"/>
          <w:color w:val="000000"/>
          <w:sz w:val="32"/>
          <w:szCs w:val="32"/>
        </w:rPr>
        <w:t>辆，执法执勤用车</w:t>
      </w:r>
      <w:r>
        <w:rPr>
          <w:rStyle w:val="9"/>
          <w:rFonts w:hint="eastAsia" w:ascii="宋体" w:hAnsi="宋体" w:eastAsia="宋体"/>
          <w:color w:val="000000"/>
          <w:sz w:val="32"/>
          <w:szCs w:val="32"/>
        </w:rPr>
        <w:t>4</w:t>
      </w:r>
      <w:r>
        <w:rPr>
          <w:rFonts w:hint="eastAsia" w:ascii="宋体" w:hAnsi="宋体" w:eastAsia="宋体"/>
          <w:color w:val="000000"/>
          <w:sz w:val="32"/>
          <w:szCs w:val="32"/>
        </w:rPr>
        <w:t>辆，特种专业技术用车</w:t>
      </w:r>
      <w:r>
        <w:rPr>
          <w:rStyle w:val="9"/>
          <w:rFonts w:hint="eastAsia" w:ascii="宋体" w:hAnsi="宋体" w:eastAsia="宋体"/>
          <w:color w:val="000000"/>
          <w:sz w:val="32"/>
          <w:szCs w:val="32"/>
        </w:rPr>
        <w:t>0</w:t>
      </w:r>
      <w:r>
        <w:rPr>
          <w:rFonts w:hint="eastAsia" w:ascii="宋体" w:hAnsi="宋体" w:eastAsia="宋体"/>
          <w:color w:val="000000"/>
          <w:sz w:val="32"/>
          <w:szCs w:val="32"/>
        </w:rPr>
        <w:t>辆，其他按照规定配备的公务用车</w:t>
      </w:r>
      <w:r>
        <w:rPr>
          <w:rStyle w:val="9"/>
          <w:rFonts w:hint="eastAsia" w:ascii="宋体" w:hAnsi="宋体" w:eastAsia="宋体"/>
          <w:color w:val="000000"/>
          <w:sz w:val="32"/>
          <w:szCs w:val="32"/>
        </w:rPr>
        <w:t>0</w:t>
      </w:r>
      <w:r>
        <w:rPr>
          <w:rFonts w:hint="eastAsia" w:ascii="宋体" w:hAnsi="宋体" w:eastAsia="宋体" w:cs="Times New Roman"/>
          <w:color w:val="000000"/>
          <w:sz w:val="32"/>
          <w:szCs w:val="32"/>
        </w:rPr>
        <w:t>辆；单位价值50万元以上通用设备</w:t>
      </w:r>
      <w:r>
        <w:rPr>
          <w:rStyle w:val="9"/>
          <w:rFonts w:hint="eastAsia" w:ascii="宋体" w:hAnsi="宋体" w:eastAsia="宋体" w:cs="Times New Roman"/>
          <w:color w:val="000000"/>
          <w:sz w:val="32"/>
          <w:szCs w:val="32"/>
        </w:rPr>
        <w:t>0</w:t>
      </w:r>
      <w:r>
        <w:rPr>
          <w:rFonts w:hint="eastAsia" w:ascii="宋体" w:hAnsi="宋体" w:eastAsia="宋体" w:cs="Times New Roman"/>
          <w:color w:val="000000"/>
          <w:sz w:val="32"/>
          <w:szCs w:val="32"/>
        </w:rPr>
        <w:t>台，单位价值100万元以上专用设备</w:t>
      </w:r>
      <w:r>
        <w:rPr>
          <w:rStyle w:val="9"/>
          <w:rFonts w:hint="eastAsia" w:ascii="宋体" w:hAnsi="宋体" w:eastAsia="宋体" w:cs="Times New Roman"/>
          <w:color w:val="000000"/>
          <w:sz w:val="32"/>
          <w:szCs w:val="32"/>
        </w:rPr>
        <w:t>0</w:t>
      </w:r>
      <w:r>
        <w:rPr>
          <w:rFonts w:hint="eastAsia" w:ascii="宋体" w:hAnsi="宋体" w:eastAsia="宋体" w:cs="Times New Roman"/>
          <w:color w:val="000000"/>
          <w:sz w:val="32"/>
          <w:szCs w:val="32"/>
        </w:rPr>
        <w:t>台。2021年拟新增配置公务用车</w:t>
      </w:r>
      <w:r>
        <w:rPr>
          <w:rStyle w:val="9"/>
          <w:rFonts w:hint="eastAsia" w:ascii="宋体" w:hAnsi="宋体" w:eastAsia="宋体" w:cs="Times New Roman"/>
          <w:color w:val="000000"/>
          <w:sz w:val="32"/>
          <w:szCs w:val="32"/>
        </w:rPr>
        <w:t>0</w:t>
      </w:r>
      <w:r>
        <w:rPr>
          <w:rFonts w:hint="eastAsia" w:ascii="宋体" w:hAnsi="宋体" w:eastAsia="宋体"/>
          <w:color w:val="000000"/>
          <w:sz w:val="32"/>
          <w:szCs w:val="32"/>
        </w:rPr>
        <w:t>辆，其中，机要通信用车</w:t>
      </w:r>
      <w:r>
        <w:rPr>
          <w:rStyle w:val="9"/>
          <w:rFonts w:hint="eastAsia" w:ascii="宋体" w:hAnsi="宋体" w:eastAsia="宋体"/>
          <w:color w:val="000000"/>
          <w:sz w:val="32"/>
          <w:szCs w:val="32"/>
        </w:rPr>
        <w:t>0</w:t>
      </w:r>
      <w:r>
        <w:rPr>
          <w:rFonts w:hint="eastAsia" w:ascii="宋体" w:hAnsi="宋体" w:eastAsia="宋体"/>
          <w:color w:val="000000"/>
          <w:sz w:val="32"/>
          <w:szCs w:val="32"/>
        </w:rPr>
        <w:t>辆，应急保障用车</w:t>
      </w:r>
      <w:r>
        <w:rPr>
          <w:rStyle w:val="9"/>
          <w:rFonts w:hint="eastAsia" w:ascii="宋体" w:hAnsi="宋体" w:eastAsia="宋体"/>
          <w:color w:val="000000"/>
          <w:sz w:val="32"/>
          <w:szCs w:val="32"/>
        </w:rPr>
        <w:t>0</w:t>
      </w:r>
      <w:r>
        <w:rPr>
          <w:rFonts w:hint="eastAsia" w:ascii="宋体" w:hAnsi="宋体" w:eastAsia="宋体"/>
          <w:color w:val="000000"/>
          <w:sz w:val="32"/>
          <w:szCs w:val="32"/>
        </w:rPr>
        <w:t>辆，执法执勤用车</w:t>
      </w:r>
      <w:r>
        <w:rPr>
          <w:rStyle w:val="9"/>
          <w:rFonts w:hint="eastAsia" w:ascii="宋体" w:hAnsi="宋体" w:eastAsia="宋体"/>
          <w:color w:val="000000"/>
          <w:sz w:val="32"/>
          <w:szCs w:val="32"/>
        </w:rPr>
        <w:t>0</w:t>
      </w:r>
      <w:r>
        <w:rPr>
          <w:rFonts w:hint="eastAsia" w:ascii="宋体" w:hAnsi="宋体" w:eastAsia="宋体"/>
          <w:color w:val="000000"/>
          <w:sz w:val="32"/>
          <w:szCs w:val="32"/>
        </w:rPr>
        <w:t>辆，特种专业技术用车</w:t>
      </w:r>
      <w:r>
        <w:rPr>
          <w:rStyle w:val="9"/>
          <w:rFonts w:hint="eastAsia" w:ascii="宋体" w:hAnsi="宋体" w:eastAsia="宋体"/>
          <w:color w:val="000000"/>
          <w:sz w:val="32"/>
          <w:szCs w:val="32"/>
        </w:rPr>
        <w:t>0</w:t>
      </w:r>
      <w:r>
        <w:rPr>
          <w:rFonts w:hint="eastAsia" w:ascii="宋体" w:hAnsi="宋体" w:eastAsia="宋体"/>
          <w:color w:val="000000"/>
          <w:sz w:val="32"/>
          <w:szCs w:val="32"/>
        </w:rPr>
        <w:t>辆，其他按照规定配备的公务用车</w:t>
      </w:r>
      <w:r>
        <w:rPr>
          <w:rStyle w:val="9"/>
          <w:rFonts w:hint="eastAsia" w:ascii="宋体" w:hAnsi="宋体" w:eastAsia="宋体"/>
          <w:color w:val="000000"/>
          <w:sz w:val="32"/>
          <w:szCs w:val="32"/>
        </w:rPr>
        <w:t>0</w:t>
      </w:r>
      <w:r>
        <w:rPr>
          <w:rFonts w:hint="eastAsia" w:ascii="宋体" w:hAnsi="宋体" w:eastAsia="宋体" w:cs="Times New Roman"/>
          <w:color w:val="000000"/>
          <w:sz w:val="32"/>
          <w:szCs w:val="32"/>
        </w:rPr>
        <w:t>辆；新增配备单位价值50万元以上通用设备</w:t>
      </w:r>
      <w:r>
        <w:rPr>
          <w:rStyle w:val="9"/>
          <w:rFonts w:hint="eastAsia" w:ascii="宋体" w:hAnsi="宋体" w:eastAsia="宋体" w:cs="Times New Roman"/>
          <w:color w:val="000000"/>
          <w:sz w:val="32"/>
          <w:szCs w:val="32"/>
        </w:rPr>
        <w:t>0</w:t>
      </w:r>
      <w:r>
        <w:rPr>
          <w:rFonts w:hint="eastAsia" w:ascii="宋体" w:hAnsi="宋体" w:eastAsia="宋体" w:cs="Times New Roman"/>
          <w:color w:val="000000"/>
          <w:sz w:val="32"/>
          <w:szCs w:val="32"/>
        </w:rPr>
        <w:t>台，单位价值100万元以上专用设备</w:t>
      </w:r>
      <w:r>
        <w:rPr>
          <w:rStyle w:val="9"/>
          <w:rFonts w:hint="eastAsia" w:ascii="宋体" w:hAnsi="宋体" w:eastAsia="宋体" w:cs="Times New Roman"/>
          <w:color w:val="000000"/>
          <w:sz w:val="32"/>
          <w:szCs w:val="32"/>
        </w:rPr>
        <w:t>0</w:t>
      </w:r>
      <w:r>
        <w:rPr>
          <w:rFonts w:hint="eastAsia" w:ascii="宋体" w:hAnsi="宋体" w:eastAsia="宋体"/>
          <w:color w:val="000000"/>
          <w:sz w:val="32"/>
          <w:szCs w:val="32"/>
        </w:rPr>
        <w:t>台。</w:t>
      </w:r>
    </w:p>
    <w:p>
      <w:pPr>
        <w:spacing w:after="2"/>
        <w:ind w:firstLine="643"/>
        <w:rPr>
          <w:rFonts w:hint="eastAsia"/>
          <w:color w:val="000000"/>
        </w:rPr>
      </w:pPr>
      <w:r>
        <w:rPr>
          <w:rFonts w:hint="eastAsia" w:ascii="宋体" w:hAnsi="宋体" w:eastAsia="宋体"/>
          <w:b/>
          <w:bCs/>
          <w:color w:val="000000"/>
          <w:sz w:val="32"/>
          <w:szCs w:val="32"/>
        </w:rPr>
        <w:t>（二）政府采购安排情况</w:t>
      </w:r>
    </w:p>
    <w:p>
      <w:pPr>
        <w:spacing w:after="2"/>
        <w:ind w:firstLine="643"/>
        <w:rPr>
          <w:rFonts w:hint="eastAsia"/>
          <w:color w:val="000000"/>
        </w:rPr>
      </w:pPr>
      <w:r>
        <w:rPr>
          <w:rFonts w:hint="eastAsia" w:ascii="宋体" w:hAnsi="宋体" w:eastAsia="宋体"/>
          <w:color w:val="000000"/>
          <w:sz w:val="32"/>
          <w:szCs w:val="32"/>
        </w:rPr>
        <w:t>2021年本部门政府采购预算总额</w:t>
      </w:r>
      <w:r>
        <w:rPr>
          <w:rStyle w:val="9"/>
          <w:rFonts w:hint="eastAsia" w:ascii="宋体" w:hAnsi="宋体" w:eastAsia="宋体"/>
          <w:color w:val="000000"/>
          <w:sz w:val="32"/>
          <w:szCs w:val="32"/>
        </w:rPr>
        <w:t>85.6</w:t>
      </w:r>
      <w:r>
        <w:rPr>
          <w:rFonts w:hint="eastAsia" w:ascii="宋体" w:hAnsi="宋体" w:eastAsia="宋体"/>
          <w:color w:val="000000"/>
          <w:sz w:val="32"/>
          <w:szCs w:val="32"/>
        </w:rPr>
        <w:t>万元，其中，货物类采购预算</w:t>
      </w:r>
      <w:r>
        <w:rPr>
          <w:rStyle w:val="9"/>
          <w:rFonts w:hint="eastAsia" w:ascii="宋体" w:hAnsi="宋体" w:eastAsia="宋体"/>
          <w:color w:val="000000"/>
          <w:sz w:val="32"/>
          <w:szCs w:val="32"/>
        </w:rPr>
        <w:t>85.6</w:t>
      </w:r>
      <w:r>
        <w:rPr>
          <w:rFonts w:hint="eastAsia" w:ascii="宋体" w:hAnsi="宋体" w:eastAsia="宋体"/>
          <w:color w:val="000000"/>
          <w:sz w:val="32"/>
          <w:szCs w:val="32"/>
        </w:rPr>
        <w:t>万元；工程类采购预算</w:t>
      </w:r>
      <w:r>
        <w:rPr>
          <w:rStyle w:val="9"/>
          <w:rFonts w:hint="eastAsia" w:ascii="宋体" w:hAnsi="宋体" w:eastAsia="宋体"/>
          <w:color w:val="000000"/>
          <w:sz w:val="32"/>
          <w:szCs w:val="32"/>
        </w:rPr>
        <w:t>0</w:t>
      </w:r>
      <w:r>
        <w:rPr>
          <w:rFonts w:hint="eastAsia" w:ascii="宋体" w:hAnsi="宋体" w:eastAsia="宋体"/>
          <w:color w:val="000000"/>
          <w:sz w:val="32"/>
          <w:szCs w:val="32"/>
        </w:rPr>
        <w:t>万元；服务类采购预算</w:t>
      </w:r>
      <w:r>
        <w:rPr>
          <w:rStyle w:val="9"/>
          <w:rFonts w:hint="eastAsia" w:ascii="宋体" w:hAnsi="宋体" w:eastAsia="宋体"/>
          <w:color w:val="000000"/>
          <w:sz w:val="32"/>
          <w:szCs w:val="32"/>
        </w:rPr>
        <w:t>0</w:t>
      </w:r>
      <w:r>
        <w:rPr>
          <w:rFonts w:hint="eastAsia" w:ascii="宋体" w:hAnsi="宋体" w:eastAsia="宋体"/>
          <w:color w:val="000000"/>
          <w:sz w:val="32"/>
          <w:szCs w:val="32"/>
        </w:rPr>
        <w:t>万元。</w:t>
      </w:r>
      <w:r>
        <w:rPr>
          <w:rFonts w:hint="eastAsia"/>
          <w:color w:val="000000"/>
        </w:rPr>
        <w:t xml:space="preserve"> </w:t>
      </w:r>
    </w:p>
    <w:p>
      <w:pPr>
        <w:spacing w:after="2"/>
        <w:ind w:firstLine="643"/>
        <w:rPr>
          <w:rFonts w:hint="eastAsia"/>
          <w:color w:val="000000"/>
        </w:rPr>
      </w:pPr>
      <w:r>
        <w:rPr>
          <w:rFonts w:hint="eastAsia" w:ascii="宋体" w:hAnsi="宋体" w:eastAsia="宋体"/>
          <w:b/>
          <w:bCs/>
          <w:color w:val="000000"/>
          <w:sz w:val="32"/>
          <w:szCs w:val="32"/>
        </w:rPr>
        <w:t>七、</w:t>
      </w:r>
      <w:r>
        <w:rPr>
          <w:rStyle w:val="5"/>
          <w:rFonts w:hint="eastAsia" w:ascii="宋体" w:hAnsi="宋体" w:eastAsia="宋体"/>
          <w:color w:val="000000"/>
          <w:sz w:val="32"/>
          <w:szCs w:val="32"/>
        </w:rPr>
        <w:t>政府性基金预算支出</w:t>
      </w:r>
      <w:r>
        <w:rPr>
          <w:rFonts w:hint="eastAsia"/>
          <w:color w:val="000000"/>
        </w:rPr>
        <w:t xml:space="preserve"> </w:t>
      </w:r>
    </w:p>
    <w:p>
      <w:pPr>
        <w:spacing w:after="2"/>
        <w:ind w:firstLine="643"/>
        <w:rPr>
          <w:rFonts w:hint="eastAsia"/>
          <w:color w:val="000000"/>
        </w:rPr>
      </w:pPr>
      <w:r>
        <w:rPr>
          <w:rFonts w:hint="eastAsia" w:ascii="宋体" w:hAnsi="宋体" w:eastAsia="宋体" w:cs="Times New Roman"/>
          <w:color w:val="000000"/>
          <w:sz w:val="32"/>
          <w:szCs w:val="32"/>
          <w:shd w:val="clear" w:color="auto" w:fill="FFFFFF"/>
        </w:rPr>
        <w:t>2021本部门无政府性基金安排的支出。</w:t>
      </w:r>
      <w:r>
        <w:rPr>
          <w:rFonts w:hint="eastAsia"/>
          <w:color w:val="000000"/>
        </w:rPr>
        <w:t xml:space="preserve"> </w:t>
      </w:r>
    </w:p>
    <w:p>
      <w:pPr>
        <w:spacing w:after="2"/>
        <w:ind w:firstLine="643"/>
        <w:rPr>
          <w:rFonts w:hint="eastAsia"/>
          <w:color w:val="000000"/>
        </w:rPr>
      </w:pPr>
      <w:r>
        <w:rPr>
          <w:rFonts w:hint="eastAsia" w:ascii="宋体" w:hAnsi="宋体" w:eastAsia="宋体"/>
          <w:b/>
          <w:bCs/>
          <w:color w:val="000000"/>
          <w:sz w:val="32"/>
          <w:szCs w:val="32"/>
        </w:rPr>
        <w:t>八、预算绩效情况及其他重要事项</w:t>
      </w:r>
      <w:r>
        <w:rPr>
          <w:rFonts w:hint="eastAsia"/>
          <w:color w:val="000000"/>
        </w:rPr>
        <w:t xml:space="preserve"> </w:t>
      </w:r>
    </w:p>
    <w:p>
      <w:pPr>
        <w:spacing w:after="2"/>
        <w:ind w:firstLine="643"/>
        <w:rPr>
          <w:rFonts w:hint="eastAsia"/>
          <w:color w:val="000000"/>
        </w:rPr>
      </w:pPr>
      <w:r>
        <w:rPr>
          <w:rFonts w:hint="eastAsia" w:ascii="宋体" w:hAnsi="宋体" w:eastAsia="宋体"/>
          <w:b/>
          <w:bCs/>
          <w:color w:val="000000"/>
          <w:sz w:val="32"/>
          <w:szCs w:val="32"/>
        </w:rPr>
        <w:t>（一）重点项目预算的绩效目标等预算绩效情况说明</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本部门整体支出和项目支出实行绩效目标管理，纳入2021年部门整体支出绩效目标的金额为469.53万元，其中：基本支出381.53万元，项目支出88万元，主要绩效目标是：</w:t>
      </w:r>
      <w:r>
        <w:rPr>
          <w:rStyle w:val="9"/>
          <w:rFonts w:hint="eastAsia" w:ascii="宋体" w:hAnsi="宋体" w:eastAsia="宋体"/>
          <w:color w:val="000000"/>
          <w:sz w:val="32"/>
          <w:szCs w:val="32"/>
        </w:rPr>
        <w:t>本部门整体支出和项目支出实行绩效目标管理，纳入2021年部门整体支出绩效目标的金额为80万元，其中：基本支出0万元，项目支出80万元，本单位实行部门预算绩效目标管理的项目共1个，主要绩效目标是：顺利完成国家卫生城市复审迎检任务，并保持长效常态化管理</w:t>
      </w:r>
      <w:r>
        <w:rPr>
          <w:rFonts w:hint="eastAsia" w:ascii="宋体" w:hAnsi="宋体" w:eastAsia="宋体"/>
          <w:color w:val="000000"/>
          <w:sz w:val="32"/>
          <w:szCs w:val="32"/>
        </w:rPr>
        <w:t>。</w:t>
      </w:r>
    </w:p>
    <w:p>
      <w:pPr>
        <w:spacing w:after="2"/>
        <w:ind w:firstLine="643"/>
        <w:rPr>
          <w:rFonts w:hint="eastAsia"/>
          <w:color w:val="000000"/>
        </w:rPr>
      </w:pPr>
      <w:r>
        <w:rPr>
          <w:rFonts w:hint="eastAsia" w:ascii="宋体" w:hAnsi="宋体" w:eastAsia="宋体"/>
          <w:b/>
          <w:bCs/>
          <w:color w:val="000000"/>
          <w:sz w:val="32"/>
          <w:szCs w:val="32"/>
        </w:rPr>
        <w:t>（二）其他重要事项说明</w:t>
      </w:r>
    </w:p>
    <w:p>
      <w:pPr>
        <w:spacing w:after="2"/>
        <w:ind w:firstLine="880"/>
        <w:rPr>
          <w:rFonts w:hint="eastAsia" w:ascii="宋体" w:hAnsi="宋体" w:eastAsia="宋体"/>
          <w:color w:val="000000"/>
          <w:sz w:val="32"/>
          <w:szCs w:val="32"/>
        </w:rPr>
      </w:pPr>
      <w:r>
        <w:rPr>
          <w:rFonts w:hint="eastAsia" w:ascii="宋体" w:hAnsi="宋体" w:eastAsia="宋体"/>
          <w:b/>
          <w:bCs/>
          <w:color w:val="000000"/>
          <w:sz w:val="32"/>
          <w:szCs w:val="32"/>
        </w:rPr>
        <w:t>一般性支出情况：</w:t>
      </w:r>
      <w:r>
        <w:rPr>
          <w:rFonts w:hint="eastAsia" w:ascii="宋体" w:hAnsi="宋体" w:eastAsia="宋体"/>
          <w:color w:val="000000"/>
          <w:sz w:val="32"/>
          <w:szCs w:val="32"/>
        </w:rPr>
        <w:t>2021年本部门会议费预算0万元，我单位2021年度无会议费支出；培训费预算0万元，我单位2021年度无培训费支出；</w:t>
      </w:r>
      <w:r>
        <w:rPr>
          <w:rStyle w:val="9"/>
          <w:rFonts w:hint="eastAsia" w:ascii="宋体" w:hAnsi="宋体" w:eastAsia="宋体"/>
          <w:color w:val="000000"/>
          <w:sz w:val="32"/>
          <w:szCs w:val="32"/>
        </w:rPr>
        <w:t>2021度未安排一般公共财政预算拨款举办节庆、晚会、论坛、赛事活动</w:t>
      </w:r>
      <w:r>
        <w:rPr>
          <w:rFonts w:hint="eastAsia" w:ascii="宋体" w:hAnsi="宋体" w:eastAsia="宋体"/>
          <w:color w:val="000000"/>
          <w:sz w:val="32"/>
          <w:szCs w:val="32"/>
        </w:rPr>
        <w:t xml:space="preserve">。 </w:t>
      </w:r>
    </w:p>
    <w:p>
      <w:pPr>
        <w:spacing w:after="2"/>
        <w:ind w:firstLine="643"/>
        <w:rPr>
          <w:rFonts w:hint="eastAsia"/>
          <w:color w:val="000000"/>
        </w:rPr>
      </w:pPr>
      <w:r>
        <w:rPr>
          <w:rStyle w:val="5"/>
          <w:rFonts w:hint="eastAsia" w:ascii="宋体" w:hAnsi="宋体" w:eastAsia="宋体"/>
          <w:color w:val="000000"/>
          <w:sz w:val="32"/>
          <w:szCs w:val="32"/>
        </w:rPr>
        <w:t>九、名词解释</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w:t>
      </w:r>
      <w:r>
        <w:rPr>
          <w:rFonts w:hint="eastAsia" w:ascii="宋体" w:hAnsi="宋体" w:eastAsia="宋体"/>
          <w:color w:val="000000"/>
          <w:sz w:val="32"/>
          <w:szCs w:val="32"/>
          <w:shd w:val="clear" w:color="auto" w:fill="FFFFFF"/>
        </w:rPr>
        <w:t>财政拨款（补助）收入：指财政预算安排且当年拨付的资金。</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2、</w:t>
      </w:r>
      <w:r>
        <w:rPr>
          <w:rFonts w:hint="eastAsia" w:ascii="宋体" w:hAnsi="宋体" w:eastAsia="宋体"/>
          <w:color w:val="000000"/>
          <w:sz w:val="32"/>
          <w:szCs w:val="32"/>
          <w:shd w:val="clear" w:color="auto" w:fill="FFFFFF"/>
        </w:rPr>
        <w:t>一般公共服务支出（</w:t>
      </w:r>
      <w:r>
        <w:rPr>
          <w:rFonts w:hint="eastAsia" w:ascii="宋体" w:hAnsi="宋体" w:eastAsia="宋体"/>
          <w:color w:val="000000"/>
          <w:sz w:val="32"/>
          <w:szCs w:val="32"/>
        </w:rPr>
        <w:t>201</w:t>
      </w:r>
      <w:r>
        <w:rPr>
          <w:rFonts w:hint="eastAsia" w:ascii="宋体" w:hAnsi="宋体" w:eastAsia="宋体"/>
          <w:color w:val="000000"/>
          <w:sz w:val="32"/>
          <w:szCs w:val="32"/>
          <w:shd w:val="clear" w:color="auto" w:fill="FFFFFF"/>
        </w:rPr>
        <w:t>类）：反映政府提供一般公共服务的支出。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3、政府办公厅（室）及相关机构事务（20103款）：反映各级政府办公厅（室）及相关机构的支出。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4、行政运行（2010301项）：反映行政单位（包括实行公务员管理的事业单位）的基本支出。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6、社会保障和就业支出（208类）：反映政府在社会保障与就业方面的支出。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7、行政事业单位养老支出（20805款）：反映用于行政事业单位养老方面的支出。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8、机关事业单位基本养老保险缴费支出（2080505类）：反映机关事业单位实施养老保险制度由单位缴纳的基本养老保险费支出。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9、机关事业单位职业年金缴费支出（2080506类）：反映机关事业单位实施养老保险制度由单位缴纳的职业年金支出。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10、卫生健康支出（210类）：反映政府卫生健康方面的支出。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11、行政事业单位医疗（21011款）：反映行政事业单位医疗方面的支出。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shd w:val="clear" w:color="auto" w:fill="FFFFFF"/>
        </w:rPr>
        <w:t>13、基本支出：指为保障机构正常运转、完成日常工作任务而发生的人员支出（包括基本工资、津贴补贴等）和公用支出（包括办公费、水电费、邮电费、交通费、会议费、差旅费等）。</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shd w:val="clear" w:color="auto" w:fill="FFFFFF"/>
        </w:rPr>
        <w:t>14、项目支出：指在基本支出之外为完成特定行政任务和事业发展目标所发生的支出。</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shd w:val="clear" w:color="auto" w:fill="FFFFFF"/>
        </w:rPr>
        <w:t>15、“三公”经费：按照有关规定，“三公”经费包括因公出国（境）费用、公务接待费、公务用车购置及运行费。</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shd w:val="clear" w:color="auto" w:fill="FFFFFF"/>
        </w:rPr>
        <w:t>16、公务用车：指单位用于履行公务的车辆，包括领导干部专车、一般公务用车和执法执勤用车。</w:t>
      </w:r>
      <w:r>
        <w:rPr>
          <w:rFonts w:hint="eastAsia"/>
          <w:color w:val="000000"/>
        </w:rPr>
        <w:t xml:space="preserve"> </w:t>
      </w:r>
    </w:p>
    <w:p>
      <w:pPr>
        <w:spacing w:after="2"/>
        <w:ind w:firstLine="643"/>
        <w:rPr>
          <w:rFonts w:hint="eastAsia"/>
          <w:color w:val="000000"/>
        </w:rPr>
      </w:pPr>
      <w:r>
        <w:rPr>
          <w:rFonts w:hint="eastAsia" w:ascii="宋体" w:hAnsi="宋体" w:eastAsia="宋体"/>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rFonts w:hint="eastAsia"/>
          <w:color w:val="000000"/>
        </w:rPr>
        <w:t xml:space="preserve"> </w:t>
      </w:r>
    </w:p>
    <w:p>
      <w:pPr>
        <w:spacing w:after="2"/>
        <w:ind w:firstLine="643"/>
        <w:rPr>
          <w:rFonts w:hint="eastAsia"/>
          <w:color w:val="000000"/>
        </w:rPr>
      </w:pPr>
    </w:p>
    <w:p>
      <w:pPr>
        <w:pStyle w:val="2"/>
        <w:spacing w:before="0" w:beforeAutospacing="0" w:after="2" w:afterAutospacing="0"/>
        <w:ind w:firstLine="880"/>
        <w:rPr>
          <w:rFonts w:hint="eastAsia" w:cs="Times New Roman"/>
          <w:color w:val="000000"/>
          <w:sz w:val="32"/>
          <w:szCs w:val="32"/>
        </w:rPr>
      </w:pPr>
    </w:p>
    <w:p>
      <w:pPr>
        <w:pStyle w:val="2"/>
        <w:spacing w:before="0" w:beforeAutospacing="0" w:after="2" w:afterAutospacing="0"/>
        <w:ind w:firstLine="880"/>
        <w:rPr>
          <w:rFonts w:hint="eastAsia" w:cs="Times New Roman"/>
          <w:color w:val="000000"/>
          <w:sz w:val="32"/>
          <w:szCs w:val="32"/>
        </w:rPr>
      </w:pPr>
    </w:p>
    <w:p>
      <w:pPr>
        <w:spacing w:after="2"/>
        <w:ind w:firstLine="880"/>
        <w:jc w:val="center"/>
        <w:rPr>
          <w:rFonts w:hint="eastAsia"/>
          <w:color w:val="000000"/>
        </w:rPr>
      </w:pPr>
      <w:r>
        <w:rPr>
          <w:rStyle w:val="5"/>
          <w:rFonts w:hint="eastAsia" w:ascii="宋体" w:hAnsi="宋体" w:eastAsia="宋体" w:cs="Times New Roman"/>
          <w:color w:val="000000"/>
          <w:sz w:val="40"/>
          <w:szCs w:val="40"/>
        </w:rPr>
        <w:t>第二部分 2021年部门预算表</w:t>
      </w:r>
      <w:r>
        <w:rPr>
          <w:rFonts w:hint="eastAsia"/>
          <w:color w:val="000000"/>
        </w:rPr>
        <w:t xml:space="preserve"> </w:t>
      </w:r>
    </w:p>
    <w:p>
      <w:pPr>
        <w:spacing w:after="2"/>
        <w:jc w:val="center"/>
        <w:rPr>
          <w:rFonts w:hint="eastAsia"/>
          <w:color w:val="000000"/>
        </w:rPr>
      </w:pPr>
      <w:r>
        <w:fldChar w:fldCharType="begin"/>
      </w:r>
      <w:r>
        <w:instrText xml:space="preserve"> HYPERLINK "http://yjs.jbreport.com/home/downloadAttachment?attachGUID=4e1e5c4d5fcc44a98541f4f1888fba52" \t "_blank" </w:instrText>
      </w:r>
      <w:r>
        <w:fldChar w:fldCharType="separate"/>
      </w:r>
      <w:r>
        <w:rPr>
          <w:rStyle w:val="7"/>
          <w:rFonts w:hint="eastAsia" w:ascii="宋体" w:hAnsi="宋体" w:eastAsia="宋体"/>
          <w:sz w:val="36"/>
          <w:szCs w:val="36"/>
        </w:rPr>
        <w:t>益阳市资阳区城市管理和综合执法局2021年部门预算公开表.xlsx</w:t>
      </w:r>
      <w:r>
        <w:rPr>
          <w:rStyle w:val="7"/>
          <w:rFonts w:hint="eastAsia" w:ascii="宋体" w:hAnsi="宋体" w:eastAsia="宋体"/>
          <w:sz w:val="36"/>
          <w:szCs w:val="36"/>
        </w:rPr>
        <w:fldChar w:fldCharType="end"/>
      </w:r>
      <w:r>
        <w:rPr>
          <w:rFonts w:hint="eastAsia" w:ascii="宋体" w:hAnsi="宋体" w:eastAsia="宋体"/>
          <w:color w:val="000000"/>
          <w:sz w:val="36"/>
          <w:szCs w:val="36"/>
        </w:rPr>
        <w:br w:type="textWrapping"/>
      </w:r>
    </w:p>
    <w:p>
      <w:pPr>
        <w:pStyle w:val="2"/>
        <w:spacing w:before="0" w:beforeAutospacing="0" w:after="2" w:afterAutospacing="0"/>
        <w:rPr>
          <w:rFonts w:hint="eastAsia" w:ascii="Times New Roman" w:hAnsi="Times New Roman" w:cs="Times New Roman"/>
          <w:color w:val="000000"/>
          <w:sz w:val="32"/>
          <w:szCs w:val="32"/>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size:16p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MWQxZDQyYmY1OTIzY2Y5YmY1YzkxZWQyMWEzMjcwYjgifQ=="/>
  </w:docVars>
  <w:rsids>
    <w:rsidRoot w:val="00172400"/>
    <w:rsid w:val="00172400"/>
    <w:rsid w:val="006A6316"/>
    <w:rsid w:val="0803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FollowedHyperlink"/>
    <w:basedOn w:val="4"/>
    <w:semiHidden/>
    <w:unhideWhenUsed/>
    <w:qFormat/>
    <w:uiPriority w:val="99"/>
    <w:rPr>
      <w:color w:val="800080"/>
      <w:u w:val="single"/>
    </w:rPr>
  </w:style>
  <w:style w:type="character" w:styleId="7">
    <w:name w:val="Hyperlink"/>
    <w:basedOn w:val="4"/>
    <w:semiHidden/>
    <w:unhideWhenUsed/>
    <w:qFormat/>
    <w:uiPriority w:val="99"/>
    <w:rPr>
      <w:color w:val="0000FF"/>
      <w:u w:val="single"/>
    </w:rPr>
  </w:style>
  <w:style w:type="paragraph" w:customStyle="1" w:styleId="8">
    <w:name w:val="1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peoplefilling"/>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5086</Words>
  <Characters>5330</Characters>
  <Lines>40</Lines>
  <Paragraphs>11</Paragraphs>
  <TotalTime>1</TotalTime>
  <ScaleCrop>false</ScaleCrop>
  <LinksUpToDate>false</LinksUpToDate>
  <CharactersWithSpaces>5453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2022-08-26T09:46:00Z</dcterms:created>
  <dc:creator>Administrator</dc:creator>
  <cp:lastModifiedBy>Administrator</cp:lastModifiedBy>
  <dcterms:modified xsi:type="dcterms:W3CDTF">2022-09-28T08:23:20Z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F41DC42F87574AA598F19C35F9E0D01C</vt:lpwstr>
  </property>
</Properties>
</file>