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方正小标宋简体" w:eastAsia="方正小标宋简体"/>
          <w:sz w:val="44"/>
          <w:szCs w:val="44"/>
        </w:rPr>
      </w:pPr>
      <w:bookmarkStart w:id="0" w:name="_Toc9931"/>
      <w:bookmarkStart w:id="1" w:name="_Toc9561"/>
      <w:bookmarkStart w:id="2" w:name="_Toc20828"/>
      <w:bookmarkStart w:id="3" w:name="_Toc2594"/>
      <w:bookmarkStart w:id="4" w:name="_Toc14729"/>
      <w:bookmarkStart w:id="5" w:name="_Toc9867"/>
      <w:bookmarkStart w:id="6" w:name="_Toc21376"/>
      <w:bookmarkStart w:id="7" w:name="_Toc27589"/>
      <w:bookmarkStart w:id="8" w:name="_Toc21122"/>
      <w:bookmarkStart w:id="9" w:name="_Toc2531"/>
      <w:bookmarkStart w:id="10" w:name="_Toc3666"/>
      <w:r>
        <w:rPr>
          <w:rFonts w:hint="eastAsia" w:ascii="方正小标宋简体" w:hAnsi="方正小标宋简体" w:eastAsia="方正小标宋简体" w:cs="方正小标宋简体"/>
          <w:sz w:val="44"/>
          <w:szCs w:val="44"/>
        </w:rPr>
        <w:t>益阳市资阳区“十四五”新型城镇化发展规划</w:t>
      </w:r>
      <w:bookmarkEnd w:id="0"/>
      <w:bookmarkEnd w:id="1"/>
      <w:bookmarkEnd w:id="2"/>
      <w:bookmarkEnd w:id="3"/>
      <w:bookmarkEnd w:id="4"/>
      <w:bookmarkEnd w:id="5"/>
      <w:bookmarkEnd w:id="6"/>
      <w:bookmarkEnd w:id="7"/>
      <w:bookmarkEnd w:id="8"/>
      <w:bookmarkEnd w:id="9"/>
      <w:bookmarkEnd w:id="10"/>
    </w:p>
    <w:p>
      <w:pPr>
        <w:pStyle w:val="2"/>
        <w:spacing w:line="600" w:lineRule="exact"/>
      </w:pP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为了有序推进“十四五”资阳区新型城镇化进程，实现建设“富饶资阳、创新资阳、开放资阳、绿色资阳、幸福资阳”的目标，特编制本规划。</w:t>
      </w:r>
    </w:p>
    <w:p>
      <w:pPr>
        <w:spacing w:line="600" w:lineRule="exact"/>
        <w:ind w:firstLine="640" w:firstLineChars="200"/>
        <w:outlineLvl w:val="0"/>
        <w:rPr>
          <w:rFonts w:ascii="黑体" w:hAnsi="黑体" w:eastAsia="黑体"/>
          <w:sz w:val="32"/>
          <w:szCs w:val="32"/>
        </w:rPr>
      </w:pPr>
      <w:bookmarkStart w:id="11" w:name="_Toc9815"/>
      <w:r>
        <w:rPr>
          <w:rFonts w:hint="eastAsia" w:ascii="黑体" w:hAnsi="黑体" w:eastAsia="黑体" w:cs="黑体"/>
          <w:sz w:val="32"/>
          <w:szCs w:val="32"/>
        </w:rPr>
        <w:t>一、“十三五”新型城镇化发展回顾</w:t>
      </w:r>
      <w:bookmarkEnd w:id="11"/>
    </w:p>
    <w:p>
      <w:pPr>
        <w:pStyle w:val="9"/>
        <w:ind w:firstLine="31680"/>
        <w:rPr>
          <w:rFonts w:cs="Times New Roman"/>
          <w:color w:val="auto"/>
        </w:rPr>
      </w:pPr>
      <w:bookmarkStart w:id="12" w:name="_Toc24137"/>
      <w:r>
        <w:rPr>
          <w:rFonts w:hint="eastAsia"/>
          <w:color w:val="auto"/>
        </w:rPr>
        <w:t>（一）主要成绩</w:t>
      </w:r>
      <w:bookmarkEnd w:id="12"/>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⒈</w:t>
      </w:r>
      <w:r>
        <w:rPr>
          <w:rFonts w:ascii="仿宋_GB2312" w:eastAsia="仿宋_GB2312" w:cs="仿宋_GB2312"/>
          <w:b/>
          <w:bCs/>
          <w:color w:val="auto"/>
        </w:rPr>
        <w:t xml:space="preserve"> </w:t>
      </w:r>
      <w:r>
        <w:rPr>
          <w:rFonts w:hint="eastAsia" w:ascii="仿宋_GB2312" w:eastAsia="仿宋_GB2312" w:cs="仿宋_GB2312"/>
          <w:b/>
          <w:bCs/>
          <w:color w:val="auto"/>
        </w:rPr>
        <w:t>建立健全了组织机构，加强对新型城镇化工作的领导和考核</w:t>
      </w:r>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2015</w:t>
      </w:r>
      <w:r>
        <w:rPr>
          <w:rFonts w:hint="eastAsia" w:ascii="仿宋_GB2312" w:eastAsia="仿宋_GB2312" w:cs="仿宋_GB2312"/>
          <w:color w:val="auto"/>
        </w:rPr>
        <w:t>年</w:t>
      </w:r>
      <w:r>
        <w:rPr>
          <w:rFonts w:ascii="仿宋_GB2312" w:eastAsia="仿宋_GB2312" w:cs="仿宋_GB2312"/>
          <w:color w:val="auto"/>
        </w:rPr>
        <w:t>7</w:t>
      </w:r>
      <w:r>
        <w:rPr>
          <w:rFonts w:hint="eastAsia" w:ascii="仿宋_GB2312" w:eastAsia="仿宋_GB2312" w:cs="仿宋_GB2312"/>
          <w:color w:val="auto"/>
        </w:rPr>
        <w:t>月，中共益阳市资阳区委办公室、益阳市资阳区人民政府办公室印发了《资阳区加快推进新型城镇化和城乡统筹发展实施办法（试行）的通知》（以下简称《办法》）。为保障《办法》工作实施，资阳区成立加快推进新型城镇化和城乡统筹发展工作领导小组，由区委书记任组长，区长任第一副组长，常务副区长任常务副组长，分管副区长任副组长，区直</w:t>
      </w:r>
      <w:r>
        <w:rPr>
          <w:rFonts w:hint="eastAsia" w:ascii="仿宋_GB2312" w:eastAsia="仿宋_GB2312" w:cs="仿宋_GB2312"/>
          <w:color w:val="auto"/>
          <w:spacing w:val="-6"/>
        </w:rPr>
        <w:t>相关单位主要负责人为成员，负责统筹推进全区新型城镇化工作。</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按照《办法》的保障措施，为加强群众对新型城镇化和城乡发展统筹工作的监督，提高开放度和透明度，积极稳健地推进工作开展。由区农村办、区住房城乡建设局牵头，制订年度工作目标体系及考核评价体系，保证《办法》各项工作任务的按期完成。</w:t>
      </w:r>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⒉</w:t>
      </w:r>
      <w:r>
        <w:rPr>
          <w:rFonts w:ascii="仿宋_GB2312" w:eastAsia="仿宋_GB2312" w:cs="仿宋_GB2312"/>
          <w:b/>
          <w:bCs/>
          <w:color w:val="auto"/>
        </w:rPr>
        <w:t xml:space="preserve"> </w:t>
      </w:r>
      <w:r>
        <w:rPr>
          <w:rFonts w:hint="eastAsia" w:ascii="仿宋_GB2312" w:eastAsia="仿宋_GB2312" w:cs="仿宋_GB2312"/>
          <w:b/>
          <w:bCs/>
          <w:color w:val="auto"/>
        </w:rPr>
        <w:t>突出了规划引领作用</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对照《资阳区村镇体系规划》和《资阳区城乡统筹专项规划》的总体要求，完成了乡镇总体规划、乡镇镇域村庄布局规划、建制镇村庄控制性详规及美丽乡村的规划编制。《土地整治规划》顺利通过市住房城乡和建设局评审并经省厅报备，实现了“多规合一”及区、乡（镇）、村三级规划全覆盖。</w:t>
      </w:r>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⒊</w:t>
      </w:r>
      <w:r>
        <w:rPr>
          <w:rFonts w:ascii="仿宋_GB2312" w:eastAsia="仿宋_GB2312" w:cs="仿宋_GB2312"/>
          <w:b/>
          <w:bCs/>
          <w:color w:val="auto"/>
        </w:rPr>
        <w:t xml:space="preserve"> </w:t>
      </w:r>
      <w:r>
        <w:rPr>
          <w:rFonts w:hint="eastAsia" w:ascii="仿宋_GB2312" w:eastAsia="仿宋_GB2312" w:cs="仿宋_GB2312"/>
          <w:b/>
          <w:bCs/>
          <w:color w:val="auto"/>
        </w:rPr>
        <w:t>城镇化水平稳步提高</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至</w:t>
      </w:r>
      <w:r>
        <w:rPr>
          <w:rFonts w:ascii="仿宋_GB2312" w:eastAsia="仿宋_GB2312" w:cs="仿宋_GB2312"/>
          <w:color w:val="auto"/>
        </w:rPr>
        <w:t>2020</w:t>
      </w:r>
      <w:r>
        <w:rPr>
          <w:rFonts w:hint="eastAsia" w:ascii="仿宋_GB2312" w:eastAsia="仿宋_GB2312" w:cs="仿宋_GB2312"/>
          <w:color w:val="auto"/>
        </w:rPr>
        <w:t>年，全区常住人口城镇化率</w:t>
      </w:r>
      <w:r>
        <w:rPr>
          <w:rFonts w:ascii="仿宋_GB2312" w:eastAsia="仿宋_GB2312" w:cs="仿宋_GB2312"/>
          <w:color w:val="auto"/>
        </w:rPr>
        <w:t>52.88%</w:t>
      </w:r>
      <w:r>
        <w:rPr>
          <w:rFonts w:hint="eastAsia" w:ascii="仿宋_GB2312" w:eastAsia="仿宋_GB2312" w:cs="仿宋_GB2312"/>
          <w:color w:val="auto"/>
        </w:rPr>
        <w:t>，高于全市</w:t>
      </w:r>
      <w:r>
        <w:rPr>
          <w:rFonts w:ascii="仿宋_GB2312" w:eastAsia="仿宋_GB2312" w:cs="仿宋_GB2312"/>
          <w:color w:val="auto"/>
        </w:rPr>
        <w:t>2.45</w:t>
      </w:r>
      <w:r>
        <w:rPr>
          <w:rFonts w:hint="eastAsia" w:ascii="仿宋_GB2312" w:eastAsia="仿宋_GB2312" w:cs="仿宋_GB2312"/>
          <w:color w:val="auto"/>
        </w:rPr>
        <w:t>个百分点。</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全区强化城镇统筹与协调，承载能力加强，增强城镇产业发展、就业吸纳、人口集聚能力，有序推进农业转移人口市民化，特别是加快推进城市社区建设和村改居进程，近年来增设长春经开区新祝、南丰、清水潭、白鹿铺和汽车路街道永丰、大码头街道三益街等</w:t>
      </w:r>
      <w:r>
        <w:rPr>
          <w:rFonts w:ascii="仿宋_GB2312" w:eastAsia="仿宋_GB2312" w:cs="仿宋_GB2312"/>
          <w:color w:val="auto"/>
        </w:rPr>
        <w:t>6</w:t>
      </w:r>
      <w:r>
        <w:rPr>
          <w:rFonts w:hint="eastAsia" w:ascii="仿宋_GB2312" w:eastAsia="仿宋_GB2312" w:cs="仿宋_GB2312"/>
          <w:color w:val="auto"/>
        </w:rPr>
        <w:t>个社区，城镇化水平进一步提升。</w:t>
      </w:r>
      <w:r>
        <w:rPr>
          <w:rFonts w:ascii="仿宋_GB2312" w:eastAsia="仿宋_GB2312" w:cs="仿宋_GB2312"/>
          <w:color w:val="auto"/>
        </w:rPr>
        <w:t>2017</w:t>
      </w:r>
      <w:r>
        <w:rPr>
          <w:rFonts w:hint="eastAsia" w:ascii="仿宋_GB2312" w:eastAsia="仿宋_GB2312" w:cs="仿宋_GB2312"/>
          <w:color w:val="auto"/>
        </w:rPr>
        <w:t>－</w:t>
      </w:r>
      <w:r>
        <w:rPr>
          <w:rFonts w:ascii="仿宋_GB2312" w:eastAsia="仿宋_GB2312" w:cs="仿宋_GB2312"/>
          <w:color w:val="auto"/>
        </w:rPr>
        <w:t>2020</w:t>
      </w:r>
      <w:r>
        <w:rPr>
          <w:rFonts w:hint="eastAsia" w:ascii="仿宋_GB2312" w:eastAsia="仿宋_GB2312" w:cs="仿宋_GB2312"/>
          <w:color w:val="auto"/>
        </w:rPr>
        <w:t>年，新型城镇化考核连续四年全市排名第一。</w:t>
      </w:r>
    </w:p>
    <w:p>
      <w:pPr>
        <w:pStyle w:val="25"/>
        <w:spacing w:line="600" w:lineRule="exact"/>
        <w:ind w:firstLine="31680"/>
        <w:rPr>
          <w:rFonts w:ascii="仿宋_GB2312" w:eastAsia="仿宋_GB2312" w:cs="Times New Roman"/>
          <w:color w:val="auto"/>
        </w:rPr>
      </w:pPr>
      <w:r>
        <w:rPr>
          <w:rFonts w:hint="eastAsia" w:ascii="仿宋_GB2312" w:eastAsia="仿宋_GB2312" w:cs="仿宋_GB2312"/>
          <w:b/>
          <w:bCs/>
          <w:color w:val="auto"/>
        </w:rPr>
        <w:t>⒋</w:t>
      </w:r>
      <w:r>
        <w:rPr>
          <w:rFonts w:ascii="仿宋_GB2312" w:eastAsia="仿宋_GB2312" w:cs="仿宋_GB2312"/>
          <w:b/>
          <w:bCs/>
          <w:color w:val="auto"/>
        </w:rPr>
        <w:t xml:space="preserve"> </w:t>
      </w:r>
      <w:r>
        <w:rPr>
          <w:rFonts w:hint="eastAsia" w:ascii="仿宋_GB2312" w:eastAsia="仿宋_GB2312" w:cs="仿宋_GB2312"/>
          <w:b/>
          <w:bCs/>
          <w:color w:val="auto"/>
        </w:rPr>
        <w:t>城镇基础设施建设大力推进</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全区城镇基础设施建设全面改善。一是城市道路建设加快。推进构建城市道路循环，完善城市道路路网结构，提高道路路网密度，完成了关濑东路、科技路、进港公路、青龙东路、利达路、向仓路、沿江东路、贺家桥南路、文昌路、马良路、白马山路、资阳路等主次干道建设，加快了</w:t>
      </w:r>
      <w:r>
        <w:rPr>
          <w:rFonts w:ascii="仿宋_GB2312" w:eastAsia="仿宋_GB2312" w:cs="仿宋_GB2312"/>
          <w:color w:val="auto"/>
        </w:rPr>
        <w:t>G234</w:t>
      </w:r>
      <w:r>
        <w:rPr>
          <w:rFonts w:hint="eastAsia" w:ascii="仿宋_GB2312" w:eastAsia="仿宋_GB2312" w:cs="仿宋_GB2312"/>
          <w:color w:val="auto"/>
        </w:rPr>
        <w:t>城市西环线建设。二是强力推进黑臭水体整治。完成了月塘渠、幸福渠、高桥渠、马良湖、龙山港渠等</w:t>
      </w:r>
      <w:r>
        <w:rPr>
          <w:rFonts w:ascii="仿宋_GB2312" w:eastAsia="仿宋_GB2312" w:cs="仿宋_GB2312"/>
          <w:color w:val="auto"/>
        </w:rPr>
        <w:t>5</w:t>
      </w:r>
      <w:r>
        <w:rPr>
          <w:rFonts w:hint="eastAsia" w:ascii="仿宋_GB2312" w:eastAsia="仿宋_GB2312" w:cs="仿宋_GB2312"/>
          <w:color w:val="auto"/>
        </w:rPr>
        <w:t>个黑臭水体整治，基本消除了城市黑臭水体。三是加强污水和垃圾治理设施建设。新建新材料产业园污水处理厂，污水处理能力</w:t>
      </w:r>
      <w:r>
        <w:rPr>
          <w:rFonts w:ascii="仿宋_GB2312" w:eastAsia="仿宋_GB2312" w:cs="仿宋_GB2312"/>
          <w:color w:val="auto"/>
        </w:rPr>
        <w:t>2</w:t>
      </w:r>
      <w:r>
        <w:rPr>
          <w:rFonts w:hint="eastAsia" w:ascii="仿宋_GB2312" w:eastAsia="仿宋_GB2312" w:cs="仿宋_GB2312"/>
          <w:color w:val="auto"/>
        </w:rPr>
        <w:t>万立方米／日。资阳区城北污水处理厂提标改造工程完工，出水达到一级</w:t>
      </w:r>
      <w:r>
        <w:rPr>
          <w:rFonts w:ascii="仿宋_GB2312" w:eastAsia="仿宋_GB2312" w:cs="仿宋_GB2312"/>
          <w:color w:val="auto"/>
        </w:rPr>
        <w:t>A</w:t>
      </w:r>
      <w:r>
        <w:rPr>
          <w:rFonts w:hint="eastAsia" w:ascii="仿宋_GB2312" w:eastAsia="仿宋_GB2312" w:cs="仿宋_GB2312"/>
          <w:color w:val="auto"/>
        </w:rPr>
        <w:t>标准。四是启动了城区生活垃圾分类处理，在南岳官、鹅羊池、三圣殿等</w:t>
      </w:r>
      <w:r>
        <w:rPr>
          <w:rFonts w:ascii="仿宋_GB2312" w:eastAsia="仿宋_GB2312" w:cs="仿宋_GB2312"/>
          <w:color w:val="auto"/>
        </w:rPr>
        <w:t>3</w:t>
      </w:r>
      <w:r>
        <w:rPr>
          <w:rFonts w:hint="eastAsia" w:ascii="仿宋_GB2312" w:eastAsia="仿宋_GB2312" w:cs="仿宋_GB2312"/>
          <w:color w:val="auto"/>
        </w:rPr>
        <w:t>个社区先行先试。五是大力发展城市风貌建设，清水潭至会龙山大桥段自然生态堤岸打造基本完工，全长</w:t>
      </w:r>
      <w:r>
        <w:rPr>
          <w:rFonts w:ascii="仿宋_GB2312" w:eastAsia="仿宋_GB2312" w:cs="仿宋_GB2312"/>
          <w:color w:val="auto"/>
        </w:rPr>
        <w:t>12.3</w:t>
      </w:r>
      <w:r>
        <w:rPr>
          <w:rFonts w:hint="eastAsia" w:ascii="仿宋_GB2312" w:eastAsia="仿宋_GB2312" w:cs="仿宋_GB2312"/>
          <w:color w:val="auto"/>
        </w:rPr>
        <w:t>公里的资江风貌带建设进展顺利，文昌广场建成开放。</w:t>
      </w:r>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⒌</w:t>
      </w:r>
      <w:r>
        <w:rPr>
          <w:rFonts w:ascii="仿宋_GB2312" w:eastAsia="仿宋_GB2312" w:cs="仿宋_GB2312"/>
          <w:b/>
          <w:bCs/>
          <w:color w:val="auto"/>
        </w:rPr>
        <w:t xml:space="preserve"> </w:t>
      </w:r>
      <w:r>
        <w:rPr>
          <w:rFonts w:hint="eastAsia" w:ascii="仿宋_GB2312" w:eastAsia="仿宋_GB2312" w:cs="仿宋_GB2312"/>
          <w:b/>
          <w:bCs/>
          <w:color w:val="auto"/>
        </w:rPr>
        <w:t>农村人居环境明显改善</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资阳区以“农村双改”为契机，大力实施农村生活垃圾治理、农村生活污水治理、农村厕所治理、农业面源污染治理、农村危房改造等工程，村容村貌大幅改观，农村人居环境全面整治，美丽乡村建设取得明显成效。</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“十三五”期间，资阳区在五镇一乡建设</w:t>
      </w:r>
      <w:r>
        <w:rPr>
          <w:rFonts w:ascii="仿宋_GB2312" w:eastAsia="仿宋_GB2312" w:cs="仿宋_GB2312"/>
          <w:color w:val="auto"/>
        </w:rPr>
        <w:t>39</w:t>
      </w:r>
      <w:r>
        <w:rPr>
          <w:rFonts w:hint="eastAsia" w:ascii="仿宋_GB2312" w:eastAsia="仿宋_GB2312" w:cs="仿宋_GB2312"/>
          <w:color w:val="auto"/>
        </w:rPr>
        <w:t>处分散式污水处理设施，配套管网建设</w:t>
      </w:r>
      <w:r>
        <w:rPr>
          <w:rFonts w:ascii="仿宋_GB2312" w:eastAsia="仿宋_GB2312" w:cs="仿宋_GB2312"/>
          <w:color w:val="auto"/>
        </w:rPr>
        <w:t>45</w:t>
      </w:r>
      <w:r>
        <w:rPr>
          <w:rFonts w:hint="eastAsia" w:ascii="仿宋_GB2312" w:eastAsia="仿宋_GB2312" w:cs="仿宋_GB2312"/>
          <w:color w:val="auto"/>
        </w:rPr>
        <w:t>公里，新增污水处理能力</w:t>
      </w:r>
      <w:r>
        <w:rPr>
          <w:rFonts w:ascii="仿宋_GB2312" w:eastAsia="仿宋_GB2312" w:cs="仿宋_GB2312"/>
          <w:color w:val="auto"/>
        </w:rPr>
        <w:t>4000</w:t>
      </w:r>
      <w:r>
        <w:rPr>
          <w:rFonts w:hint="eastAsia" w:ascii="仿宋_GB2312" w:eastAsia="仿宋_GB2312" w:cs="仿宋_GB2312"/>
          <w:color w:val="auto"/>
        </w:rPr>
        <w:t>吨</w:t>
      </w:r>
      <w:r>
        <w:rPr>
          <w:rFonts w:ascii="仿宋_GB2312" w:eastAsia="仿宋_GB2312" w:cs="仿宋_GB2312"/>
          <w:color w:val="auto"/>
        </w:rPr>
        <w:t>/</w:t>
      </w:r>
      <w:r>
        <w:rPr>
          <w:rFonts w:hint="eastAsia" w:ascii="仿宋_GB2312" w:eastAsia="仿宋_GB2312" w:cs="仿宋_GB2312"/>
          <w:color w:val="auto"/>
        </w:rPr>
        <w:t>日，服务人口</w:t>
      </w:r>
      <w:r>
        <w:rPr>
          <w:rFonts w:ascii="仿宋_GB2312" w:eastAsia="仿宋_GB2312" w:cs="仿宋_GB2312"/>
          <w:color w:val="auto"/>
        </w:rPr>
        <w:t>7</w:t>
      </w:r>
      <w:r>
        <w:rPr>
          <w:rFonts w:hint="eastAsia" w:ascii="仿宋_GB2312" w:eastAsia="仿宋_GB2312" w:cs="仿宋_GB2312"/>
          <w:color w:val="auto"/>
        </w:rPr>
        <w:t>万人，基本实现乡镇集中居住区生活污水治理全覆盖和达标排放。</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“十三五”期间，资阳区推进农村厕所革命，因地制宜选择改厕模式，改造（新建）农户卫生厕所</w:t>
      </w:r>
      <w:r>
        <w:rPr>
          <w:rFonts w:ascii="仿宋_GB2312" w:eastAsia="仿宋_GB2312" w:cs="仿宋_GB2312"/>
          <w:color w:val="auto"/>
        </w:rPr>
        <w:t>6500</w:t>
      </w:r>
      <w:r>
        <w:rPr>
          <w:rFonts w:hint="eastAsia" w:ascii="仿宋_GB2312" w:eastAsia="仿宋_GB2312" w:cs="仿宋_GB2312"/>
          <w:color w:val="auto"/>
        </w:rPr>
        <w:t>户。</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“十三五”期间，资阳区坚持以人民为中心的发展思想，深入落实“农村贫困人口住房安全有保障”的目标要求，大力实施农村危房改造，加快推进农村危房改造全覆盖，切实解决农村贫困户的住房安全问题。</w:t>
      </w:r>
      <w:r>
        <w:rPr>
          <w:rFonts w:ascii="仿宋_GB2312" w:eastAsia="仿宋_GB2312" w:cs="仿宋_GB2312"/>
          <w:color w:val="auto"/>
        </w:rPr>
        <w:t>2015</w:t>
      </w:r>
      <w:r>
        <w:rPr>
          <w:rFonts w:hint="eastAsia" w:ascii="仿宋_GB2312" w:eastAsia="仿宋_GB2312" w:cs="仿宋_GB2312"/>
          <w:color w:val="auto"/>
        </w:rPr>
        <w:t>年至</w:t>
      </w:r>
      <w:r>
        <w:rPr>
          <w:rFonts w:ascii="仿宋_GB2312" w:eastAsia="仿宋_GB2312" w:cs="仿宋_GB2312"/>
          <w:color w:val="auto"/>
        </w:rPr>
        <w:t>2020</w:t>
      </w:r>
      <w:r>
        <w:rPr>
          <w:rFonts w:hint="eastAsia" w:ascii="仿宋_GB2312" w:eastAsia="仿宋_GB2312" w:cs="仿宋_GB2312"/>
          <w:color w:val="auto"/>
        </w:rPr>
        <w:t>年，资阳区累计完成农村危房改造</w:t>
      </w:r>
      <w:r>
        <w:rPr>
          <w:rFonts w:ascii="仿宋_GB2312" w:eastAsia="仿宋_GB2312" w:cs="仿宋_GB2312"/>
          <w:color w:val="auto"/>
        </w:rPr>
        <w:t>4373</w:t>
      </w:r>
      <w:r>
        <w:rPr>
          <w:rFonts w:hint="eastAsia" w:ascii="仿宋_GB2312" w:eastAsia="仿宋_GB2312" w:cs="仿宋_GB2312"/>
          <w:color w:val="auto"/>
        </w:rPr>
        <w:t>户。</w:t>
      </w:r>
    </w:p>
    <w:p>
      <w:pPr>
        <w:pStyle w:val="25"/>
        <w:spacing w:line="600" w:lineRule="exact"/>
        <w:ind w:firstLine="31680"/>
        <w:rPr>
          <w:rFonts w:ascii="仿宋_GB2312" w:eastAsia="仿宋_GB2312" w:cs="Times New Roman"/>
          <w:color w:val="auto"/>
        </w:rPr>
      </w:pPr>
      <w:r>
        <w:rPr>
          <w:rFonts w:hint="eastAsia" w:ascii="仿宋_GB2312" w:eastAsia="仿宋_GB2312" w:cs="仿宋_GB2312"/>
          <w:b/>
          <w:bCs/>
          <w:color w:val="auto"/>
        </w:rPr>
        <w:t>⒍</w:t>
      </w:r>
      <w:r>
        <w:rPr>
          <w:rFonts w:ascii="仿宋_GB2312" w:eastAsia="仿宋_GB2312" w:cs="仿宋_GB2312"/>
          <w:b/>
          <w:bCs/>
          <w:color w:val="auto"/>
        </w:rPr>
        <w:t xml:space="preserve"> </w:t>
      </w:r>
      <w:r>
        <w:rPr>
          <w:rFonts w:hint="eastAsia" w:ascii="仿宋_GB2312" w:eastAsia="仿宋_GB2312" w:cs="仿宋_GB2312"/>
          <w:b/>
          <w:bCs/>
          <w:color w:val="auto"/>
        </w:rPr>
        <w:t>特色小城镇发展强劲</w:t>
      </w:r>
    </w:p>
    <w:p>
      <w:pPr>
        <w:pStyle w:val="25"/>
        <w:spacing w:line="600" w:lineRule="exact"/>
        <w:ind w:firstLine="31680"/>
        <w:rPr>
          <w:rFonts w:ascii="仿宋_GB2312" w:eastAsia="仿宋_GB2312" w:cs="Times New Roman"/>
          <w:color w:val="auto"/>
          <w:highlight w:val="lightGray"/>
        </w:rPr>
      </w:pPr>
      <w:r>
        <w:rPr>
          <w:rFonts w:hint="eastAsia" w:ascii="仿宋_GB2312" w:eastAsia="仿宋_GB2312" w:cs="仿宋_GB2312"/>
          <w:color w:val="auto"/>
        </w:rPr>
        <w:t>“十三五”期间，资阳区以特色人文景观、特色产业、特色旅游为中心，强力推进特色小城镇建设，并取得明显成果。截止</w:t>
      </w:r>
      <w:r>
        <w:rPr>
          <w:rFonts w:ascii="仿宋_GB2312" w:eastAsia="仿宋_GB2312" w:cs="仿宋_GB2312"/>
          <w:color w:val="auto"/>
        </w:rPr>
        <w:t>2020</w:t>
      </w:r>
      <w:r>
        <w:rPr>
          <w:rFonts w:hint="eastAsia" w:ascii="仿宋_GB2312" w:eastAsia="仿宋_GB2312" w:cs="仿宋_GB2312"/>
          <w:color w:val="auto"/>
        </w:rPr>
        <w:t>年，建成了资阳区黄家湖度假区、“稻虾小镇”“茶果小镇”“甜酒小镇”“丝瓜小镇”等具有当地特色人文景观和特色旅游的小城镇。</w:t>
      </w:r>
    </w:p>
    <w:p>
      <w:pPr>
        <w:pStyle w:val="25"/>
        <w:spacing w:line="600" w:lineRule="exact"/>
        <w:ind w:firstLine="31680"/>
        <w:outlineLvl w:val="1"/>
        <w:rPr>
          <w:rFonts w:ascii="楷体_GB2312" w:hAnsi="楷体" w:eastAsia="楷体_GB2312" w:cs="Times New Roman"/>
          <w:b/>
          <w:bCs/>
          <w:color w:val="auto"/>
        </w:rPr>
      </w:pPr>
      <w:bookmarkStart w:id="13" w:name="_Toc23077"/>
      <w:r>
        <w:rPr>
          <w:rFonts w:hint="eastAsia" w:ascii="楷体_GB2312" w:hAnsi="楷体" w:eastAsia="楷体_GB2312" w:cs="楷体_GB2312"/>
          <w:b/>
          <w:bCs/>
          <w:color w:val="auto"/>
        </w:rPr>
        <w:t>（二）主要不足</w:t>
      </w:r>
      <w:bookmarkEnd w:id="13"/>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⒈</w:t>
      </w:r>
      <w:r>
        <w:rPr>
          <w:rFonts w:ascii="仿宋_GB2312" w:eastAsia="仿宋_GB2312" w:cs="仿宋_GB2312"/>
          <w:b/>
          <w:bCs/>
          <w:color w:val="auto"/>
        </w:rPr>
        <w:t xml:space="preserve"> </w:t>
      </w:r>
      <w:r>
        <w:rPr>
          <w:rFonts w:hint="eastAsia" w:ascii="仿宋_GB2312" w:eastAsia="仿宋_GB2312" w:cs="仿宋_GB2312"/>
          <w:b/>
          <w:bCs/>
          <w:color w:val="auto"/>
        </w:rPr>
        <w:t>城镇化水平不高，并且区域范围内发展水平差别较大</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益阳周边的长沙、岳阳、常德等城市城镇化水平较高，对益阳市资源的吸引力比较强。益阳是一个传统的农业大市，工业化的水平不高，新型工业化处于初期，吸纳当地居民充分就业的能力不强，是一个比较典型的劳务输出地区。资阳的城镇基础设施建设水平不高，城镇的承载能力有限，转移农业人口在子女教育、公共医疗、养老保险、职业技能培训等基本公共服务方面尚不能得到有效保障，暂未消除农业人口市民化的后顾之忧，对农村农业人口的吸引力不够，增加城镇的常住人口数量存在一定的难度。</w:t>
      </w:r>
    </w:p>
    <w:p>
      <w:pPr>
        <w:pStyle w:val="25"/>
        <w:spacing w:line="600" w:lineRule="exact"/>
        <w:ind w:firstLine="31680"/>
        <w:rPr>
          <w:rFonts w:ascii="仿宋_GB2312" w:eastAsia="仿宋_GB2312" w:cs="Times New Roman"/>
          <w:color w:val="auto"/>
        </w:rPr>
      </w:pPr>
      <w:r>
        <w:rPr>
          <w:rFonts w:hint="eastAsia" w:ascii="仿宋_GB2312" w:eastAsia="仿宋_GB2312" w:cs="仿宋_GB2312"/>
          <w:b/>
          <w:bCs/>
          <w:color w:val="auto"/>
        </w:rPr>
        <w:t>⒉</w:t>
      </w:r>
      <w:r>
        <w:rPr>
          <w:rFonts w:ascii="仿宋_GB2312" w:eastAsia="仿宋_GB2312" w:cs="仿宋_GB2312"/>
          <w:b/>
          <w:bCs/>
          <w:color w:val="auto"/>
        </w:rPr>
        <w:t xml:space="preserve"> </w:t>
      </w:r>
      <w:r>
        <w:rPr>
          <w:rFonts w:hint="eastAsia" w:ascii="仿宋_GB2312" w:eastAsia="仿宋_GB2312" w:cs="仿宋_GB2312"/>
          <w:b/>
          <w:bCs/>
          <w:color w:val="auto"/>
        </w:rPr>
        <w:t>城镇基础设施建设水平不高，产业支撑力还有待加强。</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资阳区近几年虽然基础设施建设投入很大，取得了可喜成效，但与小康社会的标准和周边地区建设水平相比，还存在差距。部分乡镇在污水处理、垃圾处理、供水、供气、道路等基础设施的投入欠账较多，基础设施相对落后。</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部分乡镇城镇总体规划不完善，编制水平不高，没有根据当地的实际情况编制各项规划，规划的同质化现象比较严重。在规划的执行过程中，规划的影响因素较多，规划的变动较大，执行规划不够到位，“地上一张图，地下一张网，审批一支笔”做得欠缺。</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部分乡镇的特色产业不明显，在产业布局时结合当地资源特色做得还不够，还没有真正形成独具地方特色的产业链。</w:t>
      </w:r>
    </w:p>
    <w:p>
      <w:pPr>
        <w:pStyle w:val="25"/>
        <w:spacing w:line="600" w:lineRule="exact"/>
        <w:ind w:firstLine="31680"/>
        <w:rPr>
          <w:rFonts w:ascii="仿宋_GB2312" w:eastAsia="仿宋_GB2312" w:cs="Times New Roman"/>
          <w:b/>
          <w:bCs/>
          <w:color w:val="auto"/>
        </w:rPr>
      </w:pPr>
      <w:r>
        <w:rPr>
          <w:rFonts w:hint="eastAsia" w:ascii="仿宋_GB2312" w:eastAsia="仿宋_GB2312" w:cs="仿宋_GB2312"/>
          <w:b/>
          <w:bCs/>
          <w:color w:val="auto"/>
        </w:rPr>
        <w:t>⒊</w:t>
      </w:r>
      <w:r>
        <w:rPr>
          <w:rFonts w:ascii="仿宋_GB2312" w:eastAsia="仿宋_GB2312" w:cs="仿宋_GB2312"/>
          <w:b/>
          <w:bCs/>
          <w:color w:val="auto"/>
        </w:rPr>
        <w:t xml:space="preserve"> </w:t>
      </w:r>
      <w:r>
        <w:rPr>
          <w:rFonts w:hint="eastAsia" w:ascii="仿宋_GB2312" w:eastAsia="仿宋_GB2312" w:cs="仿宋_GB2312"/>
          <w:b/>
          <w:bCs/>
          <w:color w:val="auto"/>
        </w:rPr>
        <w:t>城镇管理水平不高，城镇建设管理专业人员存在结构性的矛盾。</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城镇建设管理队伍中具有城镇规划、建设、管理等专业知识的专业技术人员少，尤其规划、建设类专业人员短缺。部分乡镇管理人员对新技术、新知识的接受能力不强，对如何提高城镇规划水平、如何进行城镇建设缺乏相应的专业知识，很少能提供有针对性的建议或决策。个别乡镇管理人员主动进行新型城镇建设的意识还不够，还停留在“等、靠、要”的层面，结合乡镇实际情况进行主动谋划、主动作为的意识还有待加强，特别在提高产业建设水平的能力还有待提高。</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城镇建设融资水平不高，资金来源没有实现多样化。</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新型城镇化建设需要投放大量的资金。为了保证新型城镇化建设需要的资金，必须做到资金来源的多元化、资金来源的可持续性。从“十三五”资阳区新型城镇化投入资金的来源分析，近</w:t>
      </w:r>
      <w:r>
        <w:rPr>
          <w:rFonts w:ascii="仿宋_GB2312" w:eastAsia="仿宋_GB2312" w:cs="仿宋_GB2312"/>
          <w:color w:val="auto"/>
        </w:rPr>
        <w:t>85%</w:t>
      </w:r>
      <w:r>
        <w:rPr>
          <w:rFonts w:hint="eastAsia" w:ascii="仿宋_GB2312" w:eastAsia="仿宋_GB2312" w:cs="仿宋_GB2312"/>
          <w:color w:val="auto"/>
        </w:rPr>
        <w:t>的资金来源于中央、省、市的项目资金，财政资金占了绝大数，资金来源比较单一。民间资金占比较小，反应出民间资金对参与新型城镇建设的兴趣不高。民间资金投资新型城镇化建设后其利益缺乏政策的保障。“十四五”期间，应加强财税、土地、金融、管理体制机制等方面的改革力度，吸引更多的民间资金投入新型城镇化建设。</w:t>
      </w:r>
    </w:p>
    <w:p>
      <w:pPr>
        <w:spacing w:line="600" w:lineRule="exact"/>
        <w:ind w:firstLine="640" w:firstLineChars="200"/>
        <w:outlineLvl w:val="0"/>
        <w:rPr>
          <w:rFonts w:ascii="黑体" w:hAnsi="黑体" w:eastAsia="黑体"/>
          <w:sz w:val="32"/>
          <w:szCs w:val="32"/>
        </w:rPr>
      </w:pPr>
      <w:bookmarkStart w:id="14" w:name="_Toc15917"/>
      <w:r>
        <w:rPr>
          <w:rFonts w:hint="eastAsia" w:ascii="黑体" w:hAnsi="黑体" w:eastAsia="黑体" w:cs="黑体"/>
          <w:sz w:val="32"/>
          <w:szCs w:val="32"/>
        </w:rPr>
        <w:t>二、“十四五”新型城镇化发展机遇与挑战</w:t>
      </w:r>
      <w:bookmarkEnd w:id="14"/>
    </w:p>
    <w:p>
      <w:pPr>
        <w:spacing w:line="600" w:lineRule="exact"/>
        <w:ind w:firstLine="643" w:firstLineChars="200"/>
        <w:outlineLvl w:val="1"/>
        <w:rPr>
          <w:rFonts w:ascii="楷体_GB2312" w:hAnsi="楷体" w:eastAsia="楷体_GB2312"/>
          <w:b/>
          <w:bCs/>
          <w:sz w:val="32"/>
          <w:szCs w:val="32"/>
        </w:rPr>
      </w:pPr>
      <w:bookmarkStart w:id="15" w:name="_Toc813"/>
      <w:r>
        <w:rPr>
          <w:rFonts w:hint="eastAsia" w:ascii="楷体_GB2312" w:hAnsi="楷体" w:eastAsia="楷体_GB2312" w:cs="楷体_GB2312"/>
          <w:b/>
          <w:bCs/>
          <w:sz w:val="32"/>
          <w:szCs w:val="32"/>
        </w:rPr>
        <w:t>（一）发展机遇</w:t>
      </w:r>
      <w:bookmarkEnd w:id="15"/>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从“十三五”建设情况看，资阳区在推进新型城镇化建设方面成效显著，各项指标均有大幅提升，部分指标远超期初规划，表明资阳区在区委区政府领导下，“十三五”整体思路正确、措施有效、保障得力。“十四五”期间，随着外部条件和内在动力的深刻变化，资阳区城镇化进入了质量与速度并重、以提升质量为主的新阶段，呈现转型升级发展态势。资阳区必须进一步抓住战略机遇期，全面深入落实中央和省委、市委、区委各项部署，乘势而上、顺势而为，全面、深入、细致地推动资阳区新型城镇化再上新台阶。</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结合当前面临的经济社会大背景、本地区位特征及自身发展要求，资阳区在“十四五”期间推进新型城镇化，所面临的战略优势和发展机遇可归为以下几个方面：</w:t>
      </w:r>
    </w:p>
    <w:p>
      <w:pPr>
        <w:pStyle w:val="25"/>
        <w:spacing w:line="600" w:lineRule="exact"/>
        <w:ind w:firstLine="31680"/>
        <w:rPr>
          <w:rFonts w:ascii="仿宋_GB2312" w:eastAsia="仿宋_GB2312" w:cs="Times New Roman"/>
          <w:b/>
          <w:bCs/>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我国经济基本面长期向好的态势没有改变，中央各项经济政策持续发力引导和带动资阳区发展。</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党中央从全局高度精准研判，我国发展仍处于并将长期处于重要战略机遇期，全国上下坚定不移抓住机遇、用好机遇促进经济社会发展的总路线清晰，从中央到地方以经济建设为中心的主旋律依然坚定，各地千方百计搞建设、一心一意谋发展的热情不会动摇，决定了中国经济长期向好的总趋势不会改变。从经济增长引擎看，投资拉动的巨大作用还在相当长一段时间内不可动摇，传统基建投资力度不减、“新基建”方兴未艾，决定了未来的新型城镇化必然是对过去新型城镇化的进一步深化。乡村振兴战略纵深推进，新型城镇化与乡村振兴双轮驱动格局已经形成，决定了未来的新型城镇化将更具备全局视野，城乡融合发展集聚合力的态势将在“十四五”中形成并发力。创新驱动、开放发展决定了新型城镇化内涵式发展的要求进一步深入，为“十四五”新型城镇化的推进提出了更为具体的要求和更加生动的内涵。</w:t>
      </w:r>
    </w:p>
    <w:p>
      <w:pPr>
        <w:pStyle w:val="25"/>
        <w:spacing w:line="600" w:lineRule="exact"/>
        <w:ind w:firstLine="31680"/>
        <w:rPr>
          <w:rFonts w:ascii="仿宋_GB2312" w:eastAsia="仿宋_GB2312" w:cs="Times New Roman"/>
          <w:b/>
          <w:bCs/>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国家和区域性战略强势推进，</w:t>
      </w:r>
      <w:bookmarkStart w:id="16" w:name="OLE_LINK10"/>
      <w:bookmarkStart w:id="17" w:name="OLE_LINK9"/>
      <w:r>
        <w:rPr>
          <w:rFonts w:hint="eastAsia" w:ascii="仿宋_GB2312" w:eastAsia="仿宋_GB2312" w:cs="仿宋_GB2312"/>
          <w:b/>
          <w:bCs/>
          <w:color w:val="auto"/>
        </w:rPr>
        <w:t>我市构建的“益沅桃城镇群”能促进区域的抱团发展。</w:t>
      </w:r>
    </w:p>
    <w:p>
      <w:pPr>
        <w:pStyle w:val="25"/>
        <w:spacing w:line="600" w:lineRule="exact"/>
        <w:ind w:firstLine="31680"/>
        <w:rPr>
          <w:rFonts w:ascii="仿宋_GB2312" w:eastAsia="仿宋_GB2312" w:cs="Times New Roman"/>
          <w:color w:val="auto"/>
          <w:spacing w:val="-6"/>
        </w:rPr>
      </w:pPr>
      <w:r>
        <w:rPr>
          <w:rFonts w:hint="eastAsia" w:ascii="仿宋_GB2312" w:eastAsia="仿宋_GB2312" w:cs="仿宋_GB2312"/>
          <w:color w:val="auto"/>
        </w:rPr>
        <w:t>改革开放</w:t>
      </w:r>
      <w:r>
        <w:rPr>
          <w:rFonts w:ascii="仿宋_GB2312" w:eastAsia="仿宋_GB2312" w:cs="仿宋_GB2312"/>
          <w:color w:val="auto"/>
        </w:rPr>
        <w:t>40</w:t>
      </w:r>
      <w:r>
        <w:rPr>
          <w:rFonts w:hint="eastAsia" w:ascii="仿宋_GB2312" w:eastAsia="仿宋_GB2312" w:cs="仿宋_GB2312"/>
          <w:color w:val="auto"/>
        </w:rPr>
        <w:t>多年来我国经济快速增长，为城镇化转型发展奠定了良好物质基础。国家着力推动基本公共服务均等化，为农业转移人口市民化创造了条件。交通运输网络的不断完善、节能环保等新技术的突破应用，以及信息化的快速推进，为优化城镇化空间布局和形态，推动城镇可持续发展提供了有力支</w:t>
      </w:r>
      <w:r>
        <w:rPr>
          <w:rFonts w:hint="eastAsia" w:ascii="仿宋_GB2312" w:eastAsia="仿宋_GB2312" w:cs="仿宋_GB2312"/>
          <w:color w:val="auto"/>
          <w:spacing w:val="-6"/>
        </w:rPr>
        <w:t>撑。各地在城镇化方面的改革探索，为创新体制机制积累了经验。</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近年来，市委市政府强势推进城镇化发展进程，大力实施“东接东进”城市发展战略和落实“益沅桃城镇群”集团发展思路，资阳位处益沅桃城镇群建设轴点，为资阳区城镇化发展带来了难得的发展契机。</w:t>
      </w:r>
      <w:bookmarkEnd w:id="16"/>
      <w:bookmarkEnd w:id="17"/>
    </w:p>
    <w:p>
      <w:pPr>
        <w:pStyle w:val="25"/>
        <w:spacing w:line="600" w:lineRule="exact"/>
        <w:ind w:firstLine="31680"/>
        <w:rPr>
          <w:rFonts w:ascii="仿宋_GB2312" w:eastAsia="仿宋_GB2312" w:cs="Times New Roman"/>
          <w:b/>
          <w:bCs/>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党中央国务院对于新型城镇化科学研判、精准施策，为资阳区纵深推动新型城镇化提出了更鲜明的发展思路和方向。</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新型城镇化建设实施以来，党中央国务院根据不同阶段明确建设任务、提出建设新要求，为各地深入推进区域特色的新型城镇化提供了指导。相对于“十三五”期间的新型城镇化，当前和今后一段时间内的内涵和表现形式也将发生一系列变化。从</w:t>
      </w:r>
      <w:r>
        <w:rPr>
          <w:rFonts w:ascii="仿宋_GB2312" w:eastAsia="仿宋_GB2312" w:cs="仿宋_GB2312"/>
          <w:color w:val="auto"/>
        </w:rPr>
        <w:t>2019</w:t>
      </w:r>
      <w:r>
        <w:rPr>
          <w:rFonts w:hint="eastAsia" w:ascii="仿宋_GB2312" w:eastAsia="仿宋_GB2312" w:cs="仿宋_GB2312"/>
          <w:color w:val="auto"/>
        </w:rPr>
        <w:t>年</w:t>
      </w:r>
      <w:r>
        <w:rPr>
          <w:rFonts w:ascii="仿宋_GB2312" w:eastAsia="仿宋_GB2312" w:cs="仿宋_GB2312"/>
          <w:color w:val="auto"/>
        </w:rPr>
        <w:t>4</w:t>
      </w:r>
      <w:r>
        <w:rPr>
          <w:rFonts w:hint="eastAsia" w:ascii="仿宋_GB2312" w:eastAsia="仿宋_GB2312" w:cs="仿宋_GB2312"/>
          <w:color w:val="auto"/>
        </w:rPr>
        <w:t>月发布的《</w:t>
      </w:r>
      <w:r>
        <w:rPr>
          <w:rFonts w:ascii="仿宋_GB2312" w:eastAsia="仿宋_GB2312" w:cs="仿宋_GB2312"/>
          <w:color w:val="auto"/>
        </w:rPr>
        <w:t>2019</w:t>
      </w:r>
      <w:r>
        <w:rPr>
          <w:rFonts w:hint="eastAsia" w:ascii="仿宋_GB2312" w:eastAsia="仿宋_GB2312" w:cs="仿宋_GB2312"/>
          <w:color w:val="auto"/>
        </w:rPr>
        <w:t>年新型城镇化建设重点任务》中可以看出，当前重点任务已经落到农业转移人口市民化、优化城镇化布局形态、城市高质量发展、城乡融合发展等上面来，表明新型城镇化越来越关注人民群众的需求，也越来越将新型城镇化与乡村振兴战略等其它战略充分融合，合力打造经济引擎。从已经发布的政策文件分析看，今后一段时间新型城镇化的重点将表现在新型城镇化应该更加注重满足人民美好生活需要。结合资阳区的实际，下一步必然要求新型城镇化需要进一步发挥党的领导作用，强化规划引领、集中统一、整体布局，强化协调推进、分类实施。通过区域性城市群、产城融合、城乡一体等打造强大的区域经济引擎，提升资源配置效率，增进社会公平。</w:t>
      </w:r>
    </w:p>
    <w:p>
      <w:pPr>
        <w:spacing w:line="600" w:lineRule="exact"/>
        <w:ind w:firstLine="643" w:firstLineChars="200"/>
        <w:outlineLvl w:val="1"/>
        <w:rPr>
          <w:rFonts w:ascii="楷体_GB2312" w:hAnsi="楷体" w:eastAsia="楷体_GB2312"/>
          <w:b/>
          <w:bCs/>
          <w:sz w:val="32"/>
          <w:szCs w:val="32"/>
        </w:rPr>
      </w:pPr>
      <w:bookmarkStart w:id="18" w:name="_Toc14611"/>
      <w:r>
        <w:rPr>
          <w:rFonts w:hint="eastAsia" w:ascii="楷体_GB2312" w:hAnsi="楷体" w:eastAsia="楷体_GB2312" w:cs="楷体_GB2312"/>
          <w:b/>
          <w:bCs/>
          <w:sz w:val="32"/>
          <w:szCs w:val="32"/>
        </w:rPr>
        <w:t>（二）发展挑战</w:t>
      </w:r>
      <w:bookmarkEnd w:id="18"/>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1. </w:t>
      </w:r>
      <w:r>
        <w:rPr>
          <w:rFonts w:hint="eastAsia" w:ascii="仿宋_GB2312" w:hAnsi="仿宋" w:eastAsia="仿宋_GB2312" w:cs="仿宋_GB2312"/>
          <w:b/>
          <w:bCs/>
          <w:sz w:val="32"/>
          <w:szCs w:val="32"/>
        </w:rPr>
        <w:t>资阳区经济总量不大、实体经济不强，对新型城镇化的资金支持力度不够。</w:t>
      </w:r>
      <w:r>
        <w:rPr>
          <w:rFonts w:hint="eastAsia" w:ascii="仿宋_GB2312" w:hAnsi="仿宋" w:eastAsia="仿宋_GB2312" w:cs="仿宋_GB2312"/>
          <w:sz w:val="32"/>
          <w:szCs w:val="32"/>
        </w:rPr>
        <w:t>新型城镇化投资缺口较大，项目融资难是资阳新型城镇化推进过程中最为艰难的挑战。</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产业结构不优，工业发展基础薄弱。</w:t>
      </w:r>
      <w:r>
        <w:rPr>
          <w:rFonts w:ascii="仿宋_GB2312" w:eastAsia="仿宋_GB2312" w:cs="仿宋_GB2312"/>
          <w:color w:val="auto"/>
        </w:rPr>
        <w:t>2020</w:t>
      </w:r>
      <w:r>
        <w:rPr>
          <w:rFonts w:hint="eastAsia" w:ascii="仿宋_GB2312" w:eastAsia="仿宋_GB2312" w:cs="仿宋_GB2312"/>
          <w:color w:val="auto"/>
        </w:rPr>
        <w:t>年，资阳区的一二三产业的比重为</w:t>
      </w:r>
      <w:r>
        <w:rPr>
          <w:rFonts w:ascii="仿宋_GB2312" w:eastAsia="仿宋_GB2312" w:cs="仿宋_GB2312"/>
          <w:color w:val="auto"/>
        </w:rPr>
        <w:t>13.8:51:35.2</w:t>
      </w:r>
      <w:r>
        <w:rPr>
          <w:rFonts w:hint="eastAsia" w:ascii="仿宋_GB2312" w:eastAsia="仿宋_GB2312" w:cs="仿宋_GB2312"/>
          <w:color w:val="auto"/>
        </w:rPr>
        <w:t>；一二产业的比重过大，三产业的比重偏小。资阳是全省重要产粮区，受土地要素制约，工业园区用地问题日益突出，规模以上工业企业总量偏小，在全省、全国有重大影响力的企业不多，工业化水平在全省处于落后的水平。</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3. </w:t>
      </w:r>
      <w:r>
        <w:rPr>
          <w:rFonts w:hint="eastAsia" w:ascii="仿宋_GB2312" w:hAnsi="仿宋" w:eastAsia="仿宋_GB2312" w:cs="仿宋_GB2312"/>
          <w:b/>
          <w:bCs/>
          <w:sz w:val="32"/>
          <w:szCs w:val="32"/>
        </w:rPr>
        <w:t>城市功能有待提升，空间结构亟待优化。</w:t>
      </w:r>
      <w:r>
        <w:rPr>
          <w:rFonts w:hint="eastAsia" w:ascii="仿宋_GB2312" w:hAnsi="仿宋" w:eastAsia="仿宋_GB2312" w:cs="仿宋_GB2312"/>
          <w:sz w:val="32"/>
          <w:szCs w:val="32"/>
        </w:rPr>
        <w:t>截止到</w:t>
      </w:r>
      <w:r>
        <w:rPr>
          <w:rFonts w:ascii="仿宋_GB2312" w:hAnsi="仿宋" w:eastAsia="仿宋_GB2312" w:cs="仿宋_GB2312"/>
          <w:sz w:val="32"/>
          <w:szCs w:val="32"/>
        </w:rPr>
        <w:t>2020</w:t>
      </w:r>
      <w:r>
        <w:rPr>
          <w:rFonts w:hint="eastAsia" w:ascii="仿宋_GB2312" w:hAnsi="仿宋" w:eastAsia="仿宋_GB2312" w:cs="仿宋_GB2312"/>
          <w:sz w:val="32"/>
          <w:szCs w:val="32"/>
        </w:rPr>
        <w:t>年底，中心城区和各乡镇还存在教学、医疗卫生等公共资源的不足，公园、绿化的面积离人民的需求还存在一定的差距。</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4. </w:t>
      </w:r>
      <w:r>
        <w:rPr>
          <w:rFonts w:hint="eastAsia" w:ascii="仿宋_GB2312" w:hAnsi="仿宋" w:eastAsia="仿宋_GB2312" w:cs="仿宋_GB2312"/>
          <w:b/>
          <w:bCs/>
          <w:sz w:val="32"/>
          <w:szCs w:val="32"/>
        </w:rPr>
        <w:t>区域发展不平衡，城乡发展亟需高度协调统筹</w:t>
      </w:r>
      <w:r>
        <w:rPr>
          <w:rFonts w:hint="eastAsia" w:ascii="仿宋_GB2312" w:hAnsi="仿宋" w:eastAsia="仿宋_GB2312" w:cs="仿宋_GB2312"/>
          <w:sz w:val="32"/>
          <w:szCs w:val="32"/>
        </w:rPr>
        <w:t>。</w:t>
      </w:r>
      <w:r>
        <w:rPr>
          <w:rFonts w:ascii="仿宋_GB2312" w:hAnsi="仿宋" w:eastAsia="仿宋_GB2312" w:cs="仿宋_GB2312"/>
          <w:sz w:val="32"/>
          <w:szCs w:val="32"/>
        </w:rPr>
        <w:t>2020</w:t>
      </w:r>
      <w:r>
        <w:rPr>
          <w:rFonts w:hint="eastAsia" w:ascii="仿宋_GB2312" w:hAnsi="仿宋" w:eastAsia="仿宋_GB2312" w:cs="仿宋_GB2312"/>
          <w:sz w:val="32"/>
          <w:szCs w:val="32"/>
        </w:rPr>
        <w:t>年资阳区的经济统计数据表明，许多经济指标低于全市平均水平，且区域内差距较大。部分地区因无力承担相关基础设施和公共服务设施建设，造成新型城镇化难以推进。通过美丽乡村的建设，农村的基础设施有了很大的改观，但与中心城区相比还在不少的差距，城乡发展亟需统筹协调发展。</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5. </w:t>
      </w:r>
      <w:r>
        <w:rPr>
          <w:rFonts w:hint="eastAsia" w:ascii="仿宋_GB2312" w:hAnsi="仿宋" w:eastAsia="仿宋_GB2312" w:cs="仿宋_GB2312"/>
          <w:b/>
          <w:bCs/>
          <w:sz w:val="32"/>
          <w:szCs w:val="32"/>
        </w:rPr>
        <w:t>新型城镇化建设思路有待提升。</w:t>
      </w:r>
      <w:r>
        <w:rPr>
          <w:rFonts w:hint="eastAsia" w:ascii="仿宋_GB2312" w:hAnsi="仿宋" w:eastAsia="仿宋_GB2312" w:cs="仿宋_GB2312"/>
          <w:sz w:val="32"/>
          <w:szCs w:val="32"/>
        </w:rPr>
        <w:t>在新型城镇化过程中忽视了本身的经济及文化特征，缺少能支撑新型城镇化持续发展的产业及区位规划，忽视创造就业机会来吸引人口集聚；没有形成全面推进新型城镇化的社会动力，社会力量参与度不够，缺少区域内及区域间的协同，不能统筹反映人口问题、土地问题、资金问题、城市管理问题、基础设施问题、生态问题等。</w:t>
      </w:r>
    </w:p>
    <w:p>
      <w:pPr>
        <w:spacing w:line="600" w:lineRule="exact"/>
        <w:ind w:firstLine="640" w:firstLineChars="200"/>
        <w:outlineLvl w:val="0"/>
        <w:rPr>
          <w:rFonts w:ascii="黑体" w:hAnsi="黑体" w:eastAsia="黑体"/>
          <w:sz w:val="32"/>
          <w:szCs w:val="32"/>
        </w:rPr>
      </w:pPr>
      <w:bookmarkStart w:id="19" w:name="_Toc16413"/>
      <w:r>
        <w:rPr>
          <w:rFonts w:hint="eastAsia" w:ascii="黑体" w:hAnsi="黑体" w:eastAsia="黑体" w:cs="黑体"/>
          <w:sz w:val="32"/>
          <w:szCs w:val="32"/>
        </w:rPr>
        <w:t>三、“十四五”新型城镇化发展规划编制指导思想和目标</w:t>
      </w:r>
      <w:bookmarkEnd w:id="19"/>
    </w:p>
    <w:p>
      <w:pPr>
        <w:spacing w:line="600" w:lineRule="exact"/>
        <w:ind w:firstLine="643" w:firstLineChars="200"/>
        <w:outlineLvl w:val="1"/>
        <w:rPr>
          <w:rFonts w:ascii="楷体_GB2312" w:hAnsi="黑体" w:eastAsia="楷体_GB2312"/>
          <w:b/>
          <w:bCs/>
          <w:sz w:val="32"/>
          <w:szCs w:val="32"/>
        </w:rPr>
      </w:pPr>
      <w:bookmarkStart w:id="20" w:name="_Toc19072"/>
      <w:r>
        <w:rPr>
          <w:rFonts w:hint="eastAsia" w:ascii="楷体_GB2312" w:hAnsi="黑体" w:eastAsia="楷体_GB2312" w:cs="楷体_GB2312"/>
          <w:b/>
          <w:bCs/>
          <w:sz w:val="32"/>
          <w:szCs w:val="32"/>
        </w:rPr>
        <w:t>（一）指导思想</w:t>
      </w:r>
      <w:bookmarkEnd w:id="20"/>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以习近平新时代中国特色社会主义思想为指导，深入贯彻党的十九大和十九届历次全会精神，坚持“创新、协调、绿色、开放、共享”发展理念，加快转变城镇化发展方式，提高城镇化发展质量，深入推进以人为核心的新型城镇化。</w:t>
      </w:r>
    </w:p>
    <w:p>
      <w:pPr>
        <w:spacing w:line="600" w:lineRule="exact"/>
        <w:ind w:firstLine="643" w:firstLineChars="200"/>
        <w:outlineLvl w:val="1"/>
        <w:rPr>
          <w:rFonts w:ascii="楷体_GB2312" w:hAnsi="黑体" w:eastAsia="楷体_GB2312"/>
          <w:b/>
          <w:bCs/>
          <w:sz w:val="32"/>
          <w:szCs w:val="32"/>
        </w:rPr>
      </w:pPr>
      <w:bookmarkStart w:id="21" w:name="_Toc16326"/>
      <w:r>
        <w:rPr>
          <w:rFonts w:hint="eastAsia" w:ascii="楷体_GB2312" w:hAnsi="黑体" w:eastAsia="楷体_GB2312" w:cs="楷体_GB2312"/>
          <w:b/>
          <w:bCs/>
          <w:sz w:val="32"/>
          <w:szCs w:val="32"/>
        </w:rPr>
        <w:t>（二）指导原则</w:t>
      </w:r>
      <w:bookmarkEnd w:id="21"/>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坚持以人为本，公平共享原则。</w:t>
      </w:r>
      <w:r>
        <w:rPr>
          <w:rFonts w:hint="eastAsia" w:ascii="仿宋_GB2312" w:eastAsia="仿宋_GB2312" w:cs="仿宋_GB2312"/>
          <w:color w:val="auto"/>
        </w:rPr>
        <w:t>以人的城镇化为核心，合理引导人口流动，有序推进农业转移人口市民化，稳步推进城镇基本公共服务常住人口全覆盖，使全体居民共享现代化建设成果。</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坚持四化同步，统筹城乡原则。</w:t>
      </w:r>
      <w:r>
        <w:rPr>
          <w:rFonts w:hint="eastAsia" w:ascii="仿宋_GB2312" w:eastAsia="仿宋_GB2312" w:cs="仿宋_GB2312"/>
          <w:color w:val="auto"/>
        </w:rPr>
        <w:t>走中国特色新型工业化、信息化、城镇化、农业现代化道路，推动信息化和新型工业化深度融合、新型工业化和城镇化良性互动、城镇化和农业现代化相互协调。积极推进城乡公共资源均衡配置，逐步实现城乡基础设施一体化、土地利用集约化、公共服务均等化、产业发展集聚化、社会管理网格化、社会保障同城化。</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坚持生态文明，“两型”理念原则。</w:t>
      </w:r>
      <w:r>
        <w:rPr>
          <w:rFonts w:hint="eastAsia" w:ascii="仿宋_GB2312" w:eastAsia="仿宋_GB2312" w:cs="仿宋_GB2312"/>
          <w:color w:val="auto"/>
        </w:rPr>
        <w:t>坚持节约集约利用土地、水、能源等资源，坚持推进绿色发展、循环发展、低碳</w:t>
      </w:r>
      <w:r>
        <w:rPr>
          <w:rFonts w:hint="eastAsia" w:ascii="仿宋_GB2312" w:eastAsia="仿宋_GB2312" w:cs="仿宋_GB2312"/>
          <w:color w:val="auto"/>
          <w:spacing w:val="-6"/>
        </w:rPr>
        <w:t>发展，强化环境保护和生态修复，倡导绿色低碳的生产生活方式。</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坚持文化传承，特色鲜明原则。</w:t>
      </w:r>
      <w:r>
        <w:rPr>
          <w:rFonts w:hint="eastAsia" w:ascii="仿宋_GB2312" w:eastAsia="仿宋_GB2312" w:cs="仿宋_GB2312"/>
          <w:color w:val="auto"/>
        </w:rPr>
        <w:t>注重挖掘资阳文化底蕴和地方特色，保证城镇发展历史的真实性、风貌的完整性、生活的延续性，打造有历史记忆、文化脉络、地域风貌、民族特点的城镇化发展模式。</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5. </w:t>
      </w:r>
      <w:r>
        <w:rPr>
          <w:rFonts w:hint="eastAsia" w:ascii="仿宋_GB2312" w:eastAsia="仿宋_GB2312" w:cs="仿宋_GB2312"/>
          <w:b/>
          <w:bCs/>
          <w:color w:val="auto"/>
        </w:rPr>
        <w:t>坚持市场主导，政府引导原则。</w:t>
      </w:r>
      <w:r>
        <w:rPr>
          <w:rFonts w:hint="eastAsia" w:ascii="仿宋_GB2312" w:eastAsia="仿宋_GB2312" w:cs="仿宋_GB2312"/>
          <w:color w:val="auto"/>
        </w:rPr>
        <w:t>坚持市场在资源配置中的决定性作用，政府在新型城镇化进程中履行制定规划政策、提供公共服务和营造制度环境的重要职责。</w:t>
      </w:r>
    </w:p>
    <w:p>
      <w:pPr>
        <w:spacing w:line="600" w:lineRule="exact"/>
        <w:ind w:firstLine="643" w:firstLineChars="200"/>
        <w:outlineLvl w:val="1"/>
        <w:rPr>
          <w:rFonts w:ascii="楷体_GB2312" w:hAnsi="楷体" w:eastAsia="楷体_GB2312"/>
          <w:b/>
          <w:bCs/>
          <w:sz w:val="32"/>
          <w:szCs w:val="32"/>
        </w:rPr>
      </w:pPr>
      <w:bookmarkStart w:id="22" w:name="_Toc2516"/>
      <w:r>
        <w:rPr>
          <w:rFonts w:hint="eastAsia" w:ascii="楷体_GB2312" w:hAnsi="楷体" w:eastAsia="楷体_GB2312" w:cs="楷体_GB2312"/>
          <w:b/>
          <w:bCs/>
          <w:sz w:val="32"/>
          <w:szCs w:val="32"/>
        </w:rPr>
        <w:t>（三）发展目标</w:t>
      </w:r>
      <w:bookmarkEnd w:id="22"/>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完善城镇基础设施和公共服务设施。</w:t>
      </w:r>
      <w:r>
        <w:rPr>
          <w:rFonts w:hint="eastAsia" w:ascii="仿宋_GB2312" w:eastAsia="仿宋_GB2312" w:cs="仿宋_GB2312"/>
          <w:color w:val="auto"/>
        </w:rPr>
        <w:t>到</w:t>
      </w:r>
      <w:r>
        <w:rPr>
          <w:rFonts w:ascii="仿宋_GB2312" w:eastAsia="仿宋_GB2312" w:cs="仿宋_GB2312"/>
          <w:color w:val="auto"/>
        </w:rPr>
        <w:t>2025</w:t>
      </w:r>
      <w:r>
        <w:rPr>
          <w:rFonts w:hint="eastAsia" w:ascii="仿宋_GB2312" w:eastAsia="仿宋_GB2312" w:cs="仿宋_GB2312"/>
          <w:color w:val="auto"/>
        </w:rPr>
        <w:t>年，将资阳建成环洞庭湖经济带节点城市、创新开放活力城市、崇文重教品质城市、古韵古城、醉美资阳生态城市、宜居宜业幸福城市。加大对城镇基础设施建设和公共服务设施的实施力度</w:t>
      </w:r>
      <w:r>
        <w:rPr>
          <w:rFonts w:ascii="仿宋_GB2312" w:eastAsia="仿宋_GB2312" w:cs="仿宋_GB2312"/>
          <w:color w:val="auto"/>
        </w:rPr>
        <w:t>,</w:t>
      </w:r>
      <w:r>
        <w:rPr>
          <w:rFonts w:hint="eastAsia" w:ascii="仿宋_GB2312" w:eastAsia="仿宋_GB2312" w:cs="仿宋_GB2312"/>
          <w:color w:val="auto"/>
        </w:rPr>
        <w:t>构建科学城市路网</w:t>
      </w:r>
      <w:r>
        <w:rPr>
          <w:rFonts w:ascii="仿宋_GB2312" w:eastAsia="仿宋_GB2312" w:cs="仿宋_GB2312"/>
          <w:color w:val="auto"/>
        </w:rPr>
        <w:t>,</w:t>
      </w:r>
      <w:r>
        <w:rPr>
          <w:rFonts w:hint="eastAsia" w:ascii="仿宋_GB2312" w:eastAsia="仿宋_GB2312" w:cs="仿宋_GB2312"/>
          <w:color w:val="auto"/>
        </w:rPr>
        <w:t>不断完善城镇功能；稳步推进城镇基本公共服务常住人口全覆盖，提升城市综合承载能力。</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推动融合发展。</w:t>
      </w:r>
      <w:r>
        <w:rPr>
          <w:rFonts w:hint="eastAsia" w:ascii="仿宋_GB2312" w:eastAsia="仿宋_GB2312" w:cs="仿宋_GB2312"/>
          <w:color w:val="auto"/>
        </w:rPr>
        <w:t>按照“南接、北扩、东拓、西改”的城市发展思路，不断拓展资阳城区发展空间。加快特色小镇建设和工业园区发展，推动产城融合；统筹推进城镇建设与乡村建设，推动基本公共服务和基础设施等城乡公共资源均衡配置，推动城乡融合发展。</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加强环境治理力度。</w:t>
      </w:r>
      <w:r>
        <w:rPr>
          <w:rFonts w:hint="eastAsia" w:ascii="仿宋_GB2312" w:eastAsia="仿宋_GB2312" w:cs="仿宋_GB2312"/>
          <w:color w:val="auto"/>
        </w:rPr>
        <w:t>积极推进资阳区水环境整治工作，建立环境治理的长效机制。积极推进雨污分流改造，进一步提高生活污水收集处理效能，城镇污水处理率达</w:t>
      </w:r>
      <w:r>
        <w:rPr>
          <w:rFonts w:ascii="仿宋_GB2312" w:eastAsia="仿宋_GB2312" w:cs="仿宋_GB2312"/>
          <w:color w:val="auto"/>
        </w:rPr>
        <w:t>98%</w:t>
      </w:r>
      <w:r>
        <w:rPr>
          <w:rFonts w:hint="eastAsia" w:ascii="仿宋_GB2312" w:eastAsia="仿宋_GB2312" w:cs="仿宋_GB2312"/>
          <w:color w:val="auto"/>
        </w:rPr>
        <w:t>以上，生活垃圾无害化处理率达</w:t>
      </w:r>
      <w:r>
        <w:rPr>
          <w:rFonts w:ascii="仿宋_GB2312" w:eastAsia="仿宋_GB2312" w:cs="仿宋_GB2312"/>
          <w:color w:val="auto"/>
        </w:rPr>
        <w:t>98%</w:t>
      </w:r>
      <w:r>
        <w:rPr>
          <w:rFonts w:hint="eastAsia" w:ascii="仿宋_GB2312" w:eastAsia="仿宋_GB2312" w:cs="仿宋_GB2312"/>
          <w:color w:val="auto"/>
        </w:rPr>
        <w:t>以上，生活垃圾清洁焚烧占比</w:t>
      </w:r>
      <w:r>
        <w:rPr>
          <w:rFonts w:ascii="仿宋_GB2312" w:eastAsia="仿宋_GB2312" w:cs="仿宋_GB2312"/>
          <w:color w:val="auto"/>
        </w:rPr>
        <w:t>90%</w:t>
      </w:r>
      <w:r>
        <w:rPr>
          <w:rFonts w:hint="eastAsia" w:ascii="仿宋_GB2312" w:eastAsia="仿宋_GB2312" w:cs="仿宋_GB2312"/>
          <w:color w:val="auto"/>
        </w:rPr>
        <w:t>以上。</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稳步提升城镇化率。</w:t>
      </w:r>
      <w:r>
        <w:rPr>
          <w:rFonts w:hint="eastAsia" w:ascii="仿宋_GB2312" w:eastAsia="仿宋_GB2312" w:cs="仿宋_GB2312"/>
          <w:color w:val="auto"/>
        </w:rPr>
        <w:t>争取城镇化水平稳步提升，到</w:t>
      </w:r>
      <w:r>
        <w:rPr>
          <w:rFonts w:ascii="仿宋_GB2312" w:eastAsia="仿宋_GB2312" w:cs="仿宋_GB2312"/>
          <w:color w:val="auto"/>
        </w:rPr>
        <w:t>2025</w:t>
      </w:r>
      <w:r>
        <w:rPr>
          <w:rFonts w:hint="eastAsia" w:ascii="仿宋_GB2312" w:eastAsia="仿宋_GB2312" w:cs="仿宋_GB2312"/>
          <w:color w:val="auto"/>
        </w:rPr>
        <w:t>年，资阳区城镇化率预估为</w:t>
      </w:r>
      <w:r>
        <w:rPr>
          <w:rFonts w:ascii="仿宋_GB2312" w:eastAsia="仿宋_GB2312" w:cs="仿宋_GB2312"/>
          <w:color w:val="auto"/>
        </w:rPr>
        <w:t>57.88%</w:t>
      </w:r>
      <w:r>
        <w:rPr>
          <w:rFonts w:hint="eastAsia" w:ascii="仿宋_GB2312" w:eastAsia="仿宋_GB2312" w:cs="仿宋_GB2312"/>
          <w:color w:val="auto"/>
        </w:rPr>
        <w:t>，力争年均增长达到</w:t>
      </w:r>
      <w:r>
        <w:rPr>
          <w:rFonts w:ascii="仿宋_GB2312" w:eastAsia="仿宋_GB2312" w:cs="仿宋_GB2312"/>
          <w:color w:val="auto"/>
        </w:rPr>
        <w:t>1%</w:t>
      </w:r>
      <w:r>
        <w:rPr>
          <w:rFonts w:hint="eastAsia" w:ascii="仿宋_GB2312" w:eastAsia="仿宋_GB2312" w:cs="仿宋_GB2312"/>
          <w:color w:val="auto"/>
        </w:rPr>
        <w:t>。</w:t>
      </w:r>
    </w:p>
    <w:p>
      <w:pPr>
        <w:spacing w:line="600" w:lineRule="exact"/>
        <w:ind w:firstLine="640" w:firstLineChars="200"/>
        <w:outlineLvl w:val="0"/>
        <w:rPr>
          <w:rFonts w:ascii="黑体" w:hAnsi="黑体" w:eastAsia="黑体"/>
          <w:sz w:val="32"/>
          <w:szCs w:val="32"/>
        </w:rPr>
      </w:pPr>
      <w:bookmarkStart w:id="23" w:name="_Toc14458"/>
      <w:r>
        <w:rPr>
          <w:rFonts w:hint="eastAsia" w:ascii="黑体" w:hAnsi="黑体" w:eastAsia="黑体" w:cs="黑体"/>
          <w:sz w:val="32"/>
          <w:szCs w:val="32"/>
        </w:rPr>
        <w:t>四、突出规划引领，强化区域发展轴线功能建设</w:t>
      </w:r>
      <w:bookmarkEnd w:id="23"/>
    </w:p>
    <w:p>
      <w:pPr>
        <w:spacing w:line="600" w:lineRule="exact"/>
        <w:ind w:firstLine="643" w:firstLineChars="200"/>
        <w:outlineLvl w:val="1"/>
        <w:rPr>
          <w:rFonts w:ascii="楷体_GB2312" w:hAnsi="楷体" w:eastAsia="楷体_GB2312"/>
          <w:b/>
          <w:bCs/>
          <w:sz w:val="32"/>
          <w:szCs w:val="32"/>
        </w:rPr>
      </w:pPr>
      <w:bookmarkStart w:id="24" w:name="_Toc9928"/>
      <w:r>
        <w:rPr>
          <w:rFonts w:hint="eastAsia" w:ascii="楷体_GB2312" w:hAnsi="楷体" w:eastAsia="楷体_GB2312" w:cs="楷体_GB2312"/>
          <w:b/>
          <w:bCs/>
          <w:sz w:val="32"/>
          <w:szCs w:val="32"/>
        </w:rPr>
        <w:t>（一）优化城镇规划，保证规划引领功能</w:t>
      </w:r>
      <w:bookmarkEnd w:id="24"/>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 xml:space="preserve">1. </w:t>
      </w:r>
      <w:r>
        <w:rPr>
          <w:rFonts w:hint="eastAsia" w:ascii="仿宋_GB2312" w:eastAsia="仿宋_GB2312" w:cs="仿宋_GB2312"/>
          <w:color w:val="auto"/>
        </w:rPr>
        <w:t>在“十四五”期间，根据经济社会的实际情况，按照整合、经济、安全、美学、社会和适当超前的原则编制和修订资阳区整体发展规划，科学指导资阳区在“十四五”期间的新型城镇化进程。</w:t>
      </w:r>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 xml:space="preserve">2. </w:t>
      </w:r>
      <w:r>
        <w:rPr>
          <w:rFonts w:hint="eastAsia" w:ascii="仿宋_GB2312" w:eastAsia="仿宋_GB2312" w:cs="仿宋_GB2312"/>
          <w:color w:val="auto"/>
        </w:rPr>
        <w:t>在“十四五”期间，编制和修订建制乡镇的整体发展规划，完成规划在建制乡镇的全履盖，保证建制乡镇在“十四五”期间的新型城镇化进程稳步推进。</w:t>
      </w:r>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 xml:space="preserve">3. </w:t>
      </w:r>
      <w:r>
        <w:rPr>
          <w:rFonts w:hint="eastAsia" w:ascii="仿宋_GB2312" w:eastAsia="仿宋_GB2312" w:cs="仿宋_GB2312"/>
          <w:color w:val="auto"/>
        </w:rPr>
        <w:t>建立健全规划审批例会制，强化规划例会的审批功能，保证规划的实施，真正实现“地下一张网，地上一张图，审批一支笔”，维护规划的严肃性和法令性。</w:t>
      </w:r>
    </w:p>
    <w:p>
      <w:pPr>
        <w:spacing w:line="600" w:lineRule="exact"/>
        <w:ind w:firstLine="643" w:firstLineChars="200"/>
        <w:outlineLvl w:val="1"/>
        <w:rPr>
          <w:rFonts w:ascii="楷体_GB2312" w:hAnsi="楷体" w:eastAsia="楷体_GB2312"/>
          <w:b/>
          <w:bCs/>
          <w:sz w:val="32"/>
          <w:szCs w:val="32"/>
        </w:rPr>
      </w:pPr>
      <w:bookmarkStart w:id="25" w:name="_Toc19218"/>
      <w:r>
        <w:rPr>
          <w:rFonts w:hint="eastAsia" w:ascii="楷体_GB2312" w:hAnsi="楷体" w:eastAsia="楷体_GB2312" w:cs="楷体_GB2312"/>
          <w:b/>
          <w:bCs/>
          <w:sz w:val="32"/>
          <w:szCs w:val="32"/>
        </w:rPr>
        <w:t>（二）强化区域发展轴线功能建设</w:t>
      </w:r>
      <w:bookmarkEnd w:id="25"/>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 xml:space="preserve">1. </w:t>
      </w:r>
      <w:r>
        <w:rPr>
          <w:rFonts w:hint="eastAsia" w:ascii="仿宋_GB2312" w:eastAsia="仿宋_GB2312" w:cs="仿宋_GB2312"/>
          <w:color w:val="auto"/>
        </w:rPr>
        <w:t>利用</w:t>
      </w:r>
      <w:r>
        <w:rPr>
          <w:rFonts w:ascii="仿宋_GB2312" w:eastAsia="仿宋_GB2312" w:cs="仿宋_GB2312"/>
          <w:color w:val="auto"/>
        </w:rPr>
        <w:t>S317</w:t>
      </w:r>
      <w:r>
        <w:rPr>
          <w:rFonts w:hint="eastAsia" w:ascii="仿宋_GB2312" w:eastAsia="仿宋_GB2312" w:cs="仿宋_GB2312"/>
          <w:color w:val="auto"/>
        </w:rPr>
        <w:t>线，益迎城际干线、益沅一级公路，加强资阳乡镇与益沅桃城镇群之间、资阳城区与乡镇之间的联系。把这三路建设成为资阳区城市圈的经济发展带、绿化景观带、产业紧密联系带、交通运脉带、区域新型城镇化建设示范带。</w:t>
      </w:r>
    </w:p>
    <w:p>
      <w:pPr>
        <w:pStyle w:val="25"/>
        <w:spacing w:line="600" w:lineRule="exact"/>
        <w:ind w:firstLine="31680"/>
        <w:rPr>
          <w:rFonts w:ascii="仿宋_GB2312" w:eastAsia="仿宋_GB2312" w:cs="Times New Roman"/>
          <w:color w:val="auto"/>
        </w:rPr>
      </w:pPr>
      <w:r>
        <w:rPr>
          <w:rFonts w:ascii="仿宋_GB2312" w:eastAsia="仿宋_GB2312" w:cs="仿宋_GB2312"/>
          <w:color w:val="auto"/>
        </w:rPr>
        <w:t xml:space="preserve">2. </w:t>
      </w:r>
      <w:r>
        <w:rPr>
          <w:rFonts w:hint="eastAsia" w:ascii="仿宋_GB2312" w:eastAsia="仿宋_GB2312" w:cs="仿宋_GB2312"/>
          <w:color w:val="auto"/>
        </w:rPr>
        <w:t>加强建制乡镇之间的道路建设。在道路的两侧布置各自的优势产业。</w:t>
      </w:r>
      <w:r>
        <w:rPr>
          <w:rFonts w:ascii="仿宋_GB2312" w:eastAsia="仿宋_GB2312" w:cs="仿宋_GB2312"/>
          <w:color w:val="auto"/>
        </w:rPr>
        <w:t>2025</w:t>
      </w:r>
      <w:r>
        <w:rPr>
          <w:rFonts w:hint="eastAsia" w:ascii="仿宋_GB2312" w:eastAsia="仿宋_GB2312" w:cs="仿宋_GB2312"/>
          <w:color w:val="auto"/>
        </w:rPr>
        <w:t>年，实现建制镇之间的道路既是加强建制乡镇联系的交通要道，又是产业分布合理的产业发展带，更是美丽乡村建设、乡村振兴的示范带。</w:t>
      </w:r>
    </w:p>
    <w:p>
      <w:pPr>
        <w:spacing w:line="600" w:lineRule="exact"/>
        <w:ind w:firstLine="640" w:firstLineChars="200"/>
        <w:outlineLvl w:val="0"/>
        <w:rPr>
          <w:rFonts w:ascii="黑体" w:hAnsi="黑体" w:eastAsia="黑体"/>
          <w:sz w:val="32"/>
          <w:szCs w:val="32"/>
        </w:rPr>
      </w:pPr>
      <w:bookmarkStart w:id="26" w:name="_Toc14023"/>
      <w:r>
        <w:rPr>
          <w:rFonts w:hint="eastAsia" w:ascii="黑体" w:hAnsi="黑体" w:eastAsia="黑体" w:cs="黑体"/>
          <w:sz w:val="32"/>
          <w:szCs w:val="32"/>
        </w:rPr>
        <w:t>五、加强基础设施建设，增强城镇承载能力</w:t>
      </w:r>
      <w:bookmarkEnd w:id="26"/>
    </w:p>
    <w:p>
      <w:pPr>
        <w:pStyle w:val="23"/>
        <w:spacing w:line="600" w:lineRule="exact"/>
        <w:ind w:firstLine="31680"/>
        <w:rPr>
          <w:rFonts w:ascii="楷体_GB2312" w:hAnsi="楷体" w:eastAsia="楷体_GB2312" w:cs="Times New Roman"/>
          <w:color w:val="auto"/>
        </w:rPr>
      </w:pPr>
      <w:bookmarkStart w:id="27" w:name="_Toc14170"/>
      <w:r>
        <w:rPr>
          <w:rFonts w:hint="eastAsia" w:ascii="楷体_GB2312" w:hAnsi="楷体" w:eastAsia="楷体_GB2312" w:cs="楷体_GB2312"/>
          <w:color w:val="auto"/>
        </w:rPr>
        <w:t>（一）推进资阳区乡镇“六个一”工程建设</w:t>
      </w:r>
      <w:bookmarkEnd w:id="27"/>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坚持义务教育学校建设</w:t>
      </w:r>
      <w:r>
        <w:rPr>
          <w:rFonts w:hint="eastAsia" w:ascii="仿宋_GB2312" w:eastAsia="仿宋_GB2312" w:cs="仿宋_GB2312"/>
          <w:color w:val="auto"/>
        </w:rPr>
        <w:t>。从</w:t>
      </w:r>
      <w:r>
        <w:rPr>
          <w:rFonts w:ascii="仿宋_GB2312" w:eastAsia="仿宋_GB2312" w:cs="仿宋_GB2312"/>
          <w:color w:val="auto"/>
        </w:rPr>
        <w:t>2022</w:t>
      </w:r>
      <w:r>
        <w:rPr>
          <w:rFonts w:hint="eastAsia" w:ascii="仿宋_GB2312" w:eastAsia="仿宋_GB2312" w:cs="仿宋_GB2312"/>
          <w:color w:val="auto"/>
        </w:rPr>
        <w:t>年开始至</w:t>
      </w:r>
      <w:r>
        <w:rPr>
          <w:rFonts w:ascii="仿宋_GB2312" w:eastAsia="仿宋_GB2312" w:cs="仿宋_GB2312"/>
          <w:color w:val="auto"/>
        </w:rPr>
        <w:t>2024</w:t>
      </w:r>
      <w:r>
        <w:rPr>
          <w:rFonts w:hint="eastAsia" w:ascii="仿宋_GB2312" w:eastAsia="仿宋_GB2312" w:cs="仿宋_GB2312"/>
          <w:color w:val="auto"/>
        </w:rPr>
        <w:t>年，利用三年的时间，确保每个乡镇提质改造或新建一所义务教育学校，提质改造和新建学校达到《湖南省义务教育学校办学标准》。</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完善公共卫生体系建设，提升基础设施承载能力。</w:t>
      </w:r>
      <w:r>
        <w:rPr>
          <w:rFonts w:hint="eastAsia" w:ascii="仿宋_GB2312" w:eastAsia="仿宋_GB2312" w:cs="仿宋_GB2312"/>
          <w:color w:val="auto"/>
        </w:rPr>
        <w:t>到</w:t>
      </w:r>
      <w:r>
        <w:rPr>
          <w:rFonts w:ascii="仿宋_GB2312" w:eastAsia="仿宋_GB2312" w:cs="仿宋_GB2312"/>
          <w:color w:val="auto"/>
        </w:rPr>
        <w:t>2024</w:t>
      </w:r>
      <w:r>
        <w:rPr>
          <w:rFonts w:hint="eastAsia" w:ascii="仿宋_GB2312" w:eastAsia="仿宋_GB2312" w:cs="仿宋_GB2312"/>
          <w:color w:val="auto"/>
        </w:rPr>
        <w:t>年，基本建成体系完整、布局合理、分工明确、功能互补、密切协作、运行高效、富有韧性的优质高效整合型基层医疗机构卫生服务体系，重大疫情防控救治和突发公共卫生事件应对水平显著提升，乡镇基层医疗机构基础设施建设取得明显进展，全方位全周期健康服务与保障能力显著增强，努力让广大人民群众就近享有公平可及、系统连续的高质量医疗卫生服务。</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加强公共文化服务设施。</w:t>
      </w:r>
      <w:r>
        <w:rPr>
          <w:rFonts w:hint="eastAsia" w:ascii="仿宋_GB2312" w:eastAsia="仿宋_GB2312" w:cs="仿宋_GB2312"/>
          <w:color w:val="auto"/>
        </w:rPr>
        <w:t>到</w:t>
      </w:r>
      <w:r>
        <w:rPr>
          <w:rFonts w:ascii="仿宋_GB2312" w:eastAsia="仿宋_GB2312" w:cs="仿宋_GB2312"/>
          <w:color w:val="auto"/>
        </w:rPr>
        <w:t>2024</w:t>
      </w:r>
      <w:r>
        <w:rPr>
          <w:rFonts w:hint="eastAsia" w:ascii="仿宋_GB2312" w:eastAsia="仿宋_GB2312" w:cs="仿宋_GB2312"/>
          <w:color w:val="auto"/>
        </w:rPr>
        <w:t>年，在全区所有乡镇建成集宣传文化、文化娱乐、体育健身、文化广场等功能于一体，设备齐全、服务规范、保障有力、群众满意度较高的综合性文化活动中心。规划分三步实施：</w:t>
      </w:r>
      <w:r>
        <w:rPr>
          <w:rFonts w:ascii="仿宋_GB2312" w:eastAsia="仿宋_GB2312" w:cs="仿宋_GB2312"/>
          <w:color w:val="auto"/>
        </w:rPr>
        <w:t>2022</w:t>
      </w:r>
      <w:r>
        <w:rPr>
          <w:rFonts w:hint="eastAsia" w:ascii="仿宋_GB2312" w:eastAsia="仿宋_GB2312" w:cs="仿宋_GB2312"/>
          <w:color w:val="auto"/>
        </w:rPr>
        <w:t>年底新桥河镇、迎风桥镇完成建设；到</w:t>
      </w:r>
      <w:r>
        <w:rPr>
          <w:rFonts w:ascii="仿宋_GB2312" w:eastAsia="仿宋_GB2312" w:cs="仿宋_GB2312"/>
          <w:color w:val="auto"/>
        </w:rPr>
        <w:t>2023</w:t>
      </w:r>
      <w:r>
        <w:rPr>
          <w:rFonts w:hint="eastAsia" w:ascii="仿宋_GB2312" w:eastAsia="仿宋_GB2312" w:cs="仿宋_GB2312"/>
          <w:color w:val="auto"/>
        </w:rPr>
        <w:t>年底张家塞乡、茈湖口镇完成建设；到</w:t>
      </w:r>
      <w:r>
        <w:rPr>
          <w:rFonts w:ascii="仿宋_GB2312" w:eastAsia="仿宋_GB2312" w:cs="仿宋_GB2312"/>
          <w:color w:val="auto"/>
        </w:rPr>
        <w:t>2024</w:t>
      </w:r>
      <w:r>
        <w:rPr>
          <w:rFonts w:hint="eastAsia" w:ascii="仿宋_GB2312" w:eastAsia="仿宋_GB2312" w:cs="仿宋_GB2312"/>
          <w:color w:val="auto"/>
        </w:rPr>
        <w:t>年底沙头镇、长春镇完成建设。</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健全养老服务体系。</w:t>
      </w:r>
      <w:r>
        <w:rPr>
          <w:rFonts w:hint="eastAsia" w:ascii="仿宋_GB2312" w:eastAsia="仿宋_GB2312" w:cs="仿宋_GB2312"/>
          <w:color w:val="auto"/>
        </w:rPr>
        <w:t>从</w:t>
      </w:r>
      <w:r>
        <w:rPr>
          <w:rFonts w:ascii="仿宋_GB2312" w:eastAsia="仿宋_GB2312" w:cs="仿宋_GB2312"/>
          <w:color w:val="auto"/>
        </w:rPr>
        <w:t>2022</w:t>
      </w:r>
      <w:r>
        <w:rPr>
          <w:rFonts w:hint="eastAsia" w:ascii="仿宋_GB2312" w:eastAsia="仿宋_GB2312" w:cs="仿宋_GB2312"/>
          <w:color w:val="auto"/>
        </w:rPr>
        <w:t>年开始，利用三年的时间，推动全区六个乡镇敬老院提质改造工作，提质改造达到《养老机构等级划分与评定》国家标准的建设要求。</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5. </w:t>
      </w:r>
      <w:r>
        <w:rPr>
          <w:rFonts w:hint="eastAsia" w:ascii="仿宋_GB2312" w:eastAsia="仿宋_GB2312" w:cs="仿宋_GB2312"/>
          <w:b/>
          <w:bCs/>
          <w:color w:val="auto"/>
        </w:rPr>
        <w:t>改善乡镇公共交通体系。</w:t>
      </w:r>
      <w:r>
        <w:rPr>
          <w:rFonts w:hint="eastAsia" w:ascii="仿宋_GB2312" w:eastAsia="仿宋_GB2312" w:cs="仿宋_GB2312"/>
          <w:color w:val="auto"/>
        </w:rPr>
        <w:t>综合站场布局和发展，加快公交首末站和招呼站点建设，在资阳汽车站、杨林坳汽车站、张家塞汽车站、茈湖口汽车站共布置</w:t>
      </w:r>
      <w:r>
        <w:rPr>
          <w:rFonts w:ascii="仿宋_GB2312" w:eastAsia="仿宋_GB2312" w:cs="仿宋_GB2312"/>
          <w:color w:val="auto"/>
        </w:rPr>
        <w:t>32</w:t>
      </w:r>
      <w:r>
        <w:rPr>
          <w:rFonts w:hint="eastAsia" w:ascii="仿宋_GB2312" w:eastAsia="仿宋_GB2312" w:cs="仿宋_GB2312"/>
          <w:color w:val="auto"/>
        </w:rPr>
        <w:t>个充电桩（资阳汽车站增设</w:t>
      </w:r>
      <w:r>
        <w:rPr>
          <w:rFonts w:ascii="仿宋_GB2312" w:eastAsia="仿宋_GB2312" w:cs="仿宋_GB2312"/>
          <w:color w:val="auto"/>
        </w:rPr>
        <w:t>15</w:t>
      </w:r>
      <w:r>
        <w:rPr>
          <w:rFonts w:hint="eastAsia" w:ascii="仿宋_GB2312" w:eastAsia="仿宋_GB2312" w:cs="仿宋_GB2312"/>
          <w:color w:val="auto"/>
        </w:rPr>
        <w:t>个、杨林坳汽车站增设</w:t>
      </w:r>
      <w:r>
        <w:rPr>
          <w:rFonts w:ascii="仿宋_GB2312" w:eastAsia="仿宋_GB2312" w:cs="仿宋_GB2312"/>
          <w:color w:val="auto"/>
        </w:rPr>
        <w:t>2</w:t>
      </w:r>
      <w:r>
        <w:rPr>
          <w:rFonts w:hint="eastAsia" w:ascii="仿宋_GB2312" w:eastAsia="仿宋_GB2312" w:cs="仿宋_GB2312"/>
          <w:color w:val="auto"/>
        </w:rPr>
        <w:t>个、张家塞汽车站增设</w:t>
      </w:r>
      <w:r>
        <w:rPr>
          <w:rFonts w:ascii="仿宋_GB2312" w:eastAsia="仿宋_GB2312" w:cs="仿宋_GB2312"/>
          <w:color w:val="auto"/>
        </w:rPr>
        <w:t>10</w:t>
      </w:r>
      <w:r>
        <w:rPr>
          <w:rFonts w:hint="eastAsia" w:ascii="仿宋_GB2312" w:eastAsia="仿宋_GB2312" w:cs="仿宋_GB2312"/>
          <w:color w:val="auto"/>
        </w:rPr>
        <w:t>个、茈湖口汽车站新建</w:t>
      </w:r>
      <w:r>
        <w:rPr>
          <w:rFonts w:ascii="仿宋_GB2312" w:eastAsia="仿宋_GB2312" w:cs="仿宋_GB2312"/>
          <w:color w:val="auto"/>
        </w:rPr>
        <w:t>5</w:t>
      </w:r>
      <w:r>
        <w:rPr>
          <w:rFonts w:hint="eastAsia" w:ascii="仿宋_GB2312" w:eastAsia="仿宋_GB2312" w:cs="仿宋_GB2312"/>
          <w:color w:val="auto"/>
        </w:rPr>
        <w:t>个）。</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6. </w:t>
      </w:r>
      <w:r>
        <w:rPr>
          <w:rFonts w:hint="eastAsia" w:ascii="仿宋_GB2312" w:eastAsia="仿宋_GB2312" w:cs="仿宋_GB2312"/>
          <w:b/>
          <w:bCs/>
          <w:color w:val="auto"/>
        </w:rPr>
        <w:t>推动乡镇农贸市场改造。</w:t>
      </w:r>
      <w:r>
        <w:rPr>
          <w:rFonts w:hint="eastAsia" w:ascii="仿宋_GB2312" w:eastAsia="仿宋_GB2312" w:cs="仿宋_GB2312"/>
          <w:color w:val="auto"/>
        </w:rPr>
        <w:t>从</w:t>
      </w:r>
      <w:r>
        <w:rPr>
          <w:rFonts w:ascii="仿宋_GB2312" w:eastAsia="仿宋_GB2312" w:cs="仿宋_GB2312"/>
          <w:color w:val="auto"/>
        </w:rPr>
        <w:t>2022</w:t>
      </w:r>
      <w:r>
        <w:rPr>
          <w:rFonts w:hint="eastAsia" w:ascii="仿宋_GB2312" w:eastAsia="仿宋_GB2312" w:cs="仿宋_GB2312"/>
          <w:color w:val="auto"/>
        </w:rPr>
        <w:t>年开始，利用三年的时间，推动全区六个乡镇农贸市场提质改造和新建工作，力争到</w:t>
      </w:r>
      <w:r>
        <w:rPr>
          <w:rFonts w:ascii="仿宋_GB2312" w:eastAsia="仿宋_GB2312" w:cs="仿宋_GB2312"/>
          <w:color w:val="auto"/>
        </w:rPr>
        <w:t>2024</w:t>
      </w:r>
      <w:r>
        <w:rPr>
          <w:rFonts w:hint="eastAsia" w:ascii="仿宋_GB2312" w:eastAsia="仿宋_GB2312" w:cs="仿宋_GB2312"/>
          <w:color w:val="auto"/>
        </w:rPr>
        <w:t>年底实现全区乡镇农贸市场全覆盖。提质改造和新建农贸市场达到《湖南省农贸市场改造规范》和《湖南省农贸市场建设项目验收规范》的建设改造标准。</w:t>
      </w:r>
    </w:p>
    <w:p>
      <w:pPr>
        <w:spacing w:line="600" w:lineRule="exact"/>
        <w:ind w:firstLine="643" w:firstLineChars="200"/>
        <w:outlineLvl w:val="1"/>
        <w:rPr>
          <w:rFonts w:ascii="楷体_GB2312" w:hAnsi="楷体" w:eastAsia="楷体_GB2312"/>
          <w:b/>
          <w:bCs/>
          <w:sz w:val="32"/>
          <w:szCs w:val="32"/>
        </w:rPr>
      </w:pPr>
      <w:bookmarkStart w:id="28" w:name="_Toc16955"/>
      <w:r>
        <w:rPr>
          <w:rFonts w:hint="eastAsia" w:ascii="楷体_GB2312" w:hAnsi="楷体" w:eastAsia="楷体_GB2312" w:cs="楷体_GB2312"/>
          <w:b/>
          <w:bCs/>
          <w:sz w:val="32"/>
          <w:szCs w:val="32"/>
        </w:rPr>
        <w:t>（二）优化城镇综合交通体系</w:t>
      </w:r>
      <w:bookmarkEnd w:id="28"/>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加快资阳区域对外交通建设，密切资阳区及周边对外的联系。</w:t>
      </w:r>
      <w:r>
        <w:rPr>
          <w:rFonts w:hint="eastAsia" w:ascii="仿宋_GB2312" w:eastAsia="仿宋_GB2312" w:cs="仿宋_GB2312"/>
          <w:color w:val="auto"/>
        </w:rPr>
        <w:t>加快推进益常复线建设，落实《资阳区“十四五”交通发展规划》，利用</w:t>
      </w:r>
      <w:r>
        <w:rPr>
          <w:rFonts w:ascii="仿宋_GB2312" w:eastAsia="仿宋_GB2312" w:cs="仿宋_GB2312"/>
          <w:color w:val="auto"/>
        </w:rPr>
        <w:t>G319</w:t>
      </w:r>
      <w:r>
        <w:rPr>
          <w:rFonts w:hint="eastAsia" w:ascii="仿宋_GB2312" w:eastAsia="仿宋_GB2312" w:cs="仿宋_GB2312"/>
          <w:color w:val="auto"/>
        </w:rPr>
        <w:t>国道、长益高速、长常高速、益南高速、益阳绕城高速等高效合理的交通网络体系，加强与外界的交流与合作，主动融入国家、湖南及益阳周边地区的发展战略，从产业结构、区域功能、空间布局和环境风貌等方面入手，提高资阳中心城区的发展水平。</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加强城镇综合交通体系建设。</w:t>
      </w:r>
      <w:r>
        <w:rPr>
          <w:rFonts w:hint="eastAsia" w:ascii="仿宋_GB2312" w:eastAsia="仿宋_GB2312" w:cs="仿宋_GB2312"/>
          <w:color w:val="auto"/>
        </w:rPr>
        <w:t>优化街区路网结构，建设快速路、主次干路和支路级配合理的路网系统，提升城镇道路网络密度，优先发展公共交通。到</w:t>
      </w:r>
      <w:r>
        <w:rPr>
          <w:rFonts w:ascii="仿宋_GB2312" w:eastAsia="仿宋_GB2312" w:cs="仿宋_GB2312"/>
          <w:color w:val="auto"/>
        </w:rPr>
        <w:t>2025</w:t>
      </w:r>
      <w:r>
        <w:rPr>
          <w:rFonts w:hint="eastAsia" w:ascii="仿宋_GB2312" w:eastAsia="仿宋_GB2312" w:cs="仿宋_GB2312"/>
          <w:color w:val="auto"/>
        </w:rPr>
        <w:t>年，中心城区</w:t>
      </w:r>
      <w:r>
        <w:rPr>
          <w:rFonts w:ascii="仿宋_GB2312" w:eastAsia="仿宋_GB2312" w:cs="仿宋_GB2312"/>
          <w:color w:val="auto"/>
        </w:rPr>
        <w:t>6</w:t>
      </w:r>
      <w:r>
        <w:rPr>
          <w:rFonts w:hint="eastAsia" w:ascii="仿宋_GB2312" w:eastAsia="仿宋_GB2312" w:cs="仿宋_GB2312"/>
          <w:color w:val="auto"/>
        </w:rPr>
        <w:t>米宽以上的城市道路密度达到</w:t>
      </w:r>
      <w:r>
        <w:rPr>
          <w:rFonts w:ascii="仿宋_GB2312" w:eastAsia="仿宋_GB2312" w:cs="仿宋_GB2312"/>
          <w:color w:val="auto"/>
        </w:rPr>
        <w:t>9</w:t>
      </w:r>
      <w:r>
        <w:rPr>
          <w:rFonts w:hint="eastAsia" w:ascii="仿宋_GB2312" w:eastAsia="仿宋_GB2312" w:cs="仿宋_GB2312"/>
          <w:color w:val="auto"/>
        </w:rPr>
        <w:t>公里</w:t>
      </w:r>
      <w:r>
        <w:rPr>
          <w:rFonts w:ascii="仿宋_GB2312" w:eastAsia="仿宋_GB2312" w:cs="仿宋_GB2312"/>
          <w:color w:val="auto"/>
        </w:rPr>
        <w:t>/</w:t>
      </w:r>
      <w:r>
        <w:rPr>
          <w:rFonts w:hint="eastAsia" w:ascii="仿宋_GB2312" w:eastAsia="仿宋_GB2312" w:cs="仿宋_GB2312"/>
          <w:color w:val="auto"/>
        </w:rPr>
        <w:t>平方公里，城市公共交通占机动出行比率达</w:t>
      </w:r>
      <w:r>
        <w:rPr>
          <w:rFonts w:ascii="仿宋_GB2312" w:eastAsia="仿宋_GB2312" w:cs="仿宋_GB2312"/>
          <w:color w:val="auto"/>
        </w:rPr>
        <w:t>40%</w:t>
      </w:r>
      <w:r>
        <w:rPr>
          <w:rFonts w:hint="eastAsia" w:ascii="仿宋_GB2312" w:eastAsia="仿宋_GB2312" w:cs="仿宋_GB2312"/>
          <w:color w:val="auto"/>
        </w:rPr>
        <w:t>以上。推进城镇自行车等慢行交通系统建设，加快停车场等设施建设，推进充电站、充电桩等新能源汽车充电设施建设，将其纳入城市旧城改造和新城建设规划同步实施。</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积极推进城乡公交一体化进程。</w:t>
      </w:r>
      <w:r>
        <w:rPr>
          <w:rFonts w:hint="eastAsia" w:ascii="仿宋_GB2312" w:eastAsia="仿宋_GB2312" w:cs="仿宋_GB2312"/>
          <w:color w:val="auto"/>
        </w:rPr>
        <w:t>加快农村客运班线公交化改造，提高城乡公共客运的通达能力和服务质量，逐步解决农民出行难和出行安全问题。</w:t>
      </w:r>
    </w:p>
    <w:p>
      <w:pPr>
        <w:spacing w:line="600" w:lineRule="exact"/>
        <w:ind w:firstLine="643" w:firstLineChars="200"/>
        <w:outlineLvl w:val="1"/>
        <w:rPr>
          <w:rFonts w:ascii="楷体_GB2312" w:hAnsi="楷体" w:eastAsia="楷体_GB2312"/>
          <w:b/>
          <w:bCs/>
          <w:sz w:val="32"/>
          <w:szCs w:val="32"/>
        </w:rPr>
      </w:pPr>
      <w:bookmarkStart w:id="29" w:name="_Toc13501"/>
      <w:r>
        <w:rPr>
          <w:rFonts w:hint="eastAsia" w:ascii="楷体_GB2312" w:hAnsi="楷体" w:eastAsia="楷体_GB2312" w:cs="楷体_GB2312"/>
          <w:b/>
          <w:bCs/>
          <w:sz w:val="32"/>
          <w:szCs w:val="32"/>
        </w:rPr>
        <w:t>（三）提升城镇承载能力建设</w:t>
      </w:r>
      <w:bookmarkEnd w:id="29"/>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1. </w:t>
      </w:r>
      <w:r>
        <w:rPr>
          <w:rFonts w:hint="eastAsia" w:ascii="仿宋_GB2312" w:hAnsi="仿宋" w:eastAsia="仿宋_GB2312" w:cs="仿宋_GB2312"/>
          <w:b/>
          <w:bCs/>
          <w:sz w:val="32"/>
          <w:szCs w:val="32"/>
        </w:rPr>
        <w:t>加快实施城镇“微改”，推进城镇更新。</w:t>
      </w:r>
      <w:r>
        <w:rPr>
          <w:rFonts w:hint="eastAsia" w:ascii="仿宋_GB2312" w:hAnsi="仿宋" w:eastAsia="仿宋_GB2312" w:cs="仿宋_GB2312"/>
          <w:sz w:val="32"/>
          <w:szCs w:val="32"/>
        </w:rPr>
        <w:t>改造一批老旧小区，在保护历史文物和传统文化的前提下完善路网、供水、供气、排污等基础设施和运动健身、医务室等公共服务配套，引导发展社区便民服务。改造一批老旧街区，在保留“乡愁”的同时引进商业步行街、文化街、古城古街，打造市民消费升级载体，因地制宜发展新型文旅商业消费聚集区。改造一批城中村，探索在政府引导下工商资本与农民集体合作共赢模式。</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2. </w:t>
      </w:r>
      <w:r>
        <w:rPr>
          <w:rFonts w:hint="eastAsia" w:ascii="仿宋_GB2312" w:hAnsi="仿宋" w:eastAsia="仿宋_GB2312" w:cs="仿宋_GB2312"/>
          <w:b/>
          <w:bCs/>
          <w:sz w:val="32"/>
          <w:szCs w:val="32"/>
        </w:rPr>
        <w:t>提升城镇供水能力和品质。</w:t>
      </w:r>
      <w:r>
        <w:rPr>
          <w:rFonts w:hint="eastAsia" w:ascii="仿宋_GB2312" w:hAnsi="仿宋" w:eastAsia="仿宋_GB2312" w:cs="仿宋_GB2312"/>
          <w:sz w:val="32"/>
          <w:szCs w:val="32"/>
        </w:rPr>
        <w:t>加快供水设施建设，扩大集中供水服务范围，增强城镇供水能力。到</w:t>
      </w:r>
      <w:r>
        <w:rPr>
          <w:rFonts w:ascii="仿宋_GB2312" w:hAnsi="仿宋" w:eastAsia="仿宋_GB2312" w:cs="仿宋_GB2312"/>
          <w:sz w:val="32"/>
          <w:szCs w:val="32"/>
        </w:rPr>
        <w:t>2025</w:t>
      </w:r>
      <w:r>
        <w:rPr>
          <w:rFonts w:hint="eastAsia" w:ascii="仿宋_GB2312" w:hAnsi="仿宋" w:eastAsia="仿宋_GB2312" w:cs="仿宋_GB2312"/>
          <w:sz w:val="32"/>
          <w:szCs w:val="32"/>
        </w:rPr>
        <w:t>年，城乡统筹区域供水基本实现全覆盖，城镇公共供水普及率达到</w:t>
      </w:r>
      <w:r>
        <w:rPr>
          <w:rFonts w:ascii="仿宋_GB2312" w:hAnsi="仿宋" w:eastAsia="仿宋_GB2312" w:cs="仿宋_GB2312"/>
          <w:sz w:val="32"/>
          <w:szCs w:val="32"/>
        </w:rPr>
        <w:t>100%</w:t>
      </w:r>
      <w:r>
        <w:rPr>
          <w:rFonts w:hint="eastAsia" w:ascii="仿宋_GB2312" w:hAnsi="仿宋" w:eastAsia="仿宋_GB2312" w:cs="仿宋_GB2312"/>
          <w:sz w:val="32"/>
          <w:szCs w:val="32"/>
        </w:rPr>
        <w:t>；农村居民安全饮水率达到</w:t>
      </w:r>
      <w:r>
        <w:rPr>
          <w:rFonts w:ascii="仿宋_GB2312" w:hAnsi="仿宋" w:eastAsia="仿宋_GB2312" w:cs="仿宋_GB2312"/>
          <w:sz w:val="32"/>
          <w:szCs w:val="32"/>
        </w:rPr>
        <w:t>90%</w:t>
      </w:r>
      <w:r>
        <w:rPr>
          <w:rFonts w:hint="eastAsia" w:ascii="仿宋_GB2312" w:hAnsi="仿宋" w:eastAsia="仿宋_GB2312" w:cs="仿宋_GB2312"/>
          <w:sz w:val="32"/>
          <w:szCs w:val="32"/>
        </w:rPr>
        <w:t>，农村集中式供水受益人口提高到</w:t>
      </w:r>
      <w:r>
        <w:rPr>
          <w:rFonts w:ascii="仿宋_GB2312" w:hAnsi="仿宋" w:eastAsia="仿宋_GB2312" w:cs="仿宋_GB2312"/>
          <w:sz w:val="32"/>
          <w:szCs w:val="32"/>
        </w:rPr>
        <w:t>80%</w:t>
      </w:r>
      <w:r>
        <w:rPr>
          <w:rFonts w:hint="eastAsia" w:ascii="仿宋_GB2312" w:hAnsi="仿宋" w:eastAsia="仿宋_GB2312" w:cs="仿宋_GB2312"/>
          <w:sz w:val="32"/>
          <w:szCs w:val="32"/>
        </w:rPr>
        <w:t>以上；编制并实施全区水资源保护规划，加快落实最严格的水资源管理制度，着力推进节水型城市建设。</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3. </w:t>
      </w:r>
      <w:r>
        <w:rPr>
          <w:rFonts w:hint="eastAsia" w:ascii="仿宋_GB2312" w:hAnsi="仿宋" w:eastAsia="仿宋_GB2312" w:cs="仿宋_GB2312"/>
          <w:b/>
          <w:bCs/>
          <w:sz w:val="32"/>
          <w:szCs w:val="32"/>
        </w:rPr>
        <w:t>加大生活污水处理力度。</w:t>
      </w:r>
      <w:r>
        <w:rPr>
          <w:rFonts w:hint="eastAsia" w:ascii="仿宋_GB2312" w:hAnsi="仿宋" w:eastAsia="仿宋_GB2312" w:cs="仿宋_GB2312"/>
          <w:sz w:val="32"/>
          <w:szCs w:val="32"/>
        </w:rPr>
        <w:t>强力推进重点镇、中心镇等乡镇的污水处理配套管网建设；新建城区严格实施雨污分流，旧城区大力实施雨污分流改造；加大城市排水监管力度，提高污水处理能力。</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4. </w:t>
      </w:r>
      <w:r>
        <w:rPr>
          <w:rFonts w:hint="eastAsia" w:ascii="仿宋_GB2312" w:hAnsi="仿宋" w:eastAsia="仿宋_GB2312" w:cs="仿宋_GB2312"/>
          <w:b/>
          <w:bCs/>
          <w:sz w:val="32"/>
          <w:szCs w:val="32"/>
        </w:rPr>
        <w:t>加快城镇燃气发展。</w:t>
      </w:r>
      <w:r>
        <w:rPr>
          <w:rFonts w:hint="eastAsia" w:ascii="仿宋_GB2312" w:hAnsi="仿宋" w:eastAsia="仿宋_GB2312" w:cs="仿宋_GB2312"/>
          <w:sz w:val="32"/>
          <w:szCs w:val="32"/>
        </w:rPr>
        <w:t>合理布局站点，完善燃气输配系统，建立燃气安全保障体系，规范燃气使用。推进资阳区城区和重点镇、中心镇的燃气管网建设，优化液化燃气储备站及供应站布局；统筹推进农村和乡镇燃气发展，开展分布式能源试点；严格实行燃气企业经营许可证制度，加强燃气供应设施建设和管理。</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5. </w:t>
      </w:r>
      <w:r>
        <w:rPr>
          <w:rFonts w:hint="eastAsia" w:ascii="仿宋_GB2312" w:hAnsi="仿宋" w:eastAsia="仿宋_GB2312" w:cs="仿宋_GB2312"/>
          <w:b/>
          <w:bCs/>
          <w:sz w:val="32"/>
          <w:szCs w:val="32"/>
        </w:rPr>
        <w:t>加快资阳区生活垃圾无害化处理。</w:t>
      </w:r>
      <w:r>
        <w:rPr>
          <w:rFonts w:hint="eastAsia" w:ascii="仿宋_GB2312" w:hAnsi="仿宋" w:eastAsia="仿宋_GB2312" w:cs="仿宋_GB2312"/>
          <w:sz w:val="32"/>
          <w:szCs w:val="32"/>
        </w:rPr>
        <w:t>加快生活垃圾无害化处理设施建设；规范处置医疗垃圾和固体废弃物；加快建筑垃圾资源化利用，加快餐厨垃圾无害化和资源化处理工作。到</w:t>
      </w:r>
      <w:r>
        <w:rPr>
          <w:rFonts w:ascii="仿宋_GB2312" w:hAnsi="仿宋" w:eastAsia="仿宋_GB2312" w:cs="仿宋_GB2312"/>
          <w:sz w:val="32"/>
          <w:szCs w:val="32"/>
        </w:rPr>
        <w:t>2025</w:t>
      </w:r>
      <w:r>
        <w:rPr>
          <w:rFonts w:hint="eastAsia" w:ascii="仿宋_GB2312" w:hAnsi="仿宋" w:eastAsia="仿宋_GB2312" w:cs="仿宋_GB2312"/>
          <w:sz w:val="32"/>
          <w:szCs w:val="32"/>
        </w:rPr>
        <w:t>年，生活垃圾焚烧处理能力达到</w:t>
      </w:r>
      <w:r>
        <w:rPr>
          <w:rFonts w:ascii="仿宋_GB2312" w:hAnsi="仿宋" w:eastAsia="仿宋_GB2312" w:cs="仿宋_GB2312"/>
          <w:sz w:val="32"/>
          <w:szCs w:val="32"/>
        </w:rPr>
        <w:t>95%</w:t>
      </w:r>
      <w:r>
        <w:rPr>
          <w:rFonts w:hint="eastAsia" w:ascii="仿宋_GB2312" w:hAnsi="仿宋" w:eastAsia="仿宋_GB2312" w:cs="仿宋_GB2312"/>
          <w:sz w:val="32"/>
          <w:szCs w:val="32"/>
        </w:rPr>
        <w:t>以上、餐厨垃圾无害化处理率达到</w:t>
      </w:r>
      <w:r>
        <w:rPr>
          <w:rFonts w:ascii="仿宋_GB2312" w:hAnsi="仿宋" w:eastAsia="仿宋_GB2312" w:cs="仿宋_GB2312"/>
          <w:sz w:val="32"/>
          <w:szCs w:val="32"/>
        </w:rPr>
        <w:t>75%</w:t>
      </w:r>
      <w:r>
        <w:rPr>
          <w:rFonts w:hint="eastAsia" w:ascii="仿宋_GB2312" w:hAnsi="仿宋" w:eastAsia="仿宋_GB2312" w:cs="仿宋_GB2312"/>
          <w:sz w:val="32"/>
          <w:szCs w:val="32"/>
        </w:rPr>
        <w:t>以上，建筑垃圾资源化利用率均达到</w:t>
      </w:r>
      <w:r>
        <w:rPr>
          <w:rFonts w:ascii="仿宋_GB2312" w:hAnsi="仿宋" w:eastAsia="仿宋_GB2312" w:cs="仿宋_GB2312"/>
          <w:sz w:val="32"/>
          <w:szCs w:val="32"/>
        </w:rPr>
        <w:t>70%</w:t>
      </w:r>
      <w:r>
        <w:rPr>
          <w:rFonts w:hint="eastAsia" w:ascii="仿宋_GB2312" w:hAnsi="仿宋" w:eastAsia="仿宋_GB2312" w:cs="仿宋_GB2312"/>
          <w:sz w:val="32"/>
          <w:szCs w:val="32"/>
        </w:rPr>
        <w:t>以上。</w:t>
      </w:r>
    </w:p>
    <w:p>
      <w:pPr>
        <w:widowControl/>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6. </w:t>
      </w:r>
      <w:r>
        <w:rPr>
          <w:rFonts w:hint="eastAsia" w:ascii="仿宋_GB2312" w:hAnsi="仿宋" w:eastAsia="仿宋_GB2312" w:cs="仿宋_GB2312"/>
          <w:b/>
          <w:bCs/>
          <w:sz w:val="32"/>
          <w:szCs w:val="32"/>
        </w:rPr>
        <w:t>加大住房保障力度。</w:t>
      </w:r>
      <w:r>
        <w:rPr>
          <w:rFonts w:hint="eastAsia" w:ascii="仿宋_GB2312" w:hAnsi="仿宋" w:eastAsia="仿宋_GB2312" w:cs="仿宋_GB2312"/>
          <w:sz w:val="32"/>
          <w:szCs w:val="32"/>
        </w:rPr>
        <w:t>围绕增强人员承载能力，以改善民生为导向，以城市居住社区功能完善和补短板为重点，坚持系统思维，发挥老旧小区促进城市更新、提升居住品质的带动作用，全面落实《益阳市既有多层住宅加装电梯实施细则》。有序发展租赁住房，扩大保障性住房（包括公租房和政策性租赁住房）供给，开展公租房分类处置和盘活工作，扎实推进城镇棚户区改造，建立全区城镇老旧小区改造规划“一张图”系统。</w:t>
      </w:r>
    </w:p>
    <w:p>
      <w:pPr>
        <w:widowControl/>
        <w:spacing w:line="58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7. </w:t>
      </w:r>
      <w:r>
        <w:rPr>
          <w:rFonts w:hint="eastAsia" w:ascii="仿宋_GB2312" w:hAnsi="仿宋" w:eastAsia="仿宋_GB2312" w:cs="仿宋_GB2312"/>
          <w:b/>
          <w:bCs/>
          <w:sz w:val="32"/>
          <w:szCs w:val="32"/>
        </w:rPr>
        <w:t>稳步推进绿化建设。</w:t>
      </w:r>
      <w:r>
        <w:rPr>
          <w:rFonts w:hint="eastAsia" w:ascii="仿宋_GB2312" w:hAnsi="仿宋" w:eastAsia="仿宋_GB2312" w:cs="仿宋_GB2312"/>
          <w:sz w:val="32"/>
          <w:szCs w:val="32"/>
        </w:rPr>
        <w:t>坚持景观效益、生态效益和安全效益相结合，实施城镇绿荫行动，强化绿线绿景的建设与管理；加强城镇公园绿地、附属绿地及其他绿地的保护与建设；积极发展社区公园，推进庭院小区绿化、立体绿化和江河湖岸绿化，推进绿荫广场和绿萌庭院建设，抓好各类公园建设，大力推进城郊绿化工作；加快城镇范围内的交通线两侧防护绿地建设；加强城镇之间的绿道网建设。到</w:t>
      </w:r>
      <w:r>
        <w:rPr>
          <w:rFonts w:ascii="仿宋_GB2312" w:hAnsi="仿宋" w:eastAsia="仿宋_GB2312" w:cs="仿宋_GB2312"/>
          <w:sz w:val="32"/>
          <w:szCs w:val="32"/>
        </w:rPr>
        <w:t>2025</w:t>
      </w:r>
      <w:r>
        <w:rPr>
          <w:rFonts w:hint="eastAsia" w:ascii="仿宋_GB2312" w:hAnsi="仿宋" w:eastAsia="仿宋_GB2312" w:cs="仿宋_GB2312"/>
          <w:sz w:val="32"/>
          <w:szCs w:val="32"/>
        </w:rPr>
        <w:t>年，资阳区建成区绿化覆盖率、人均公园绿地面积分别达到</w:t>
      </w:r>
      <w:r>
        <w:rPr>
          <w:rFonts w:ascii="仿宋_GB2312" w:hAnsi="仿宋" w:eastAsia="仿宋_GB2312" w:cs="仿宋_GB2312"/>
          <w:sz w:val="32"/>
          <w:szCs w:val="32"/>
        </w:rPr>
        <w:t>40%</w:t>
      </w:r>
      <w:r>
        <w:rPr>
          <w:rFonts w:hint="eastAsia" w:ascii="仿宋_GB2312" w:hAnsi="仿宋" w:eastAsia="仿宋_GB2312" w:cs="仿宋_GB2312"/>
          <w:sz w:val="32"/>
          <w:szCs w:val="32"/>
        </w:rPr>
        <w:t>以上和</w:t>
      </w:r>
      <w:r>
        <w:rPr>
          <w:rFonts w:ascii="仿宋_GB2312" w:hAnsi="仿宋" w:eastAsia="仿宋_GB2312" w:cs="仿宋_GB2312"/>
          <w:sz w:val="32"/>
          <w:szCs w:val="32"/>
        </w:rPr>
        <w:t>10</w:t>
      </w:r>
      <w:r>
        <w:rPr>
          <w:rFonts w:hint="eastAsia" w:ascii="仿宋_GB2312" w:hAnsi="仿宋" w:eastAsia="仿宋_GB2312" w:cs="仿宋_GB2312"/>
          <w:sz w:val="32"/>
          <w:szCs w:val="32"/>
        </w:rPr>
        <w:t>平方米</w:t>
      </w:r>
      <w:r>
        <w:rPr>
          <w:rFonts w:ascii="仿宋_GB2312" w:hAnsi="仿宋" w:eastAsia="仿宋_GB2312" w:cs="仿宋_GB2312"/>
          <w:sz w:val="32"/>
          <w:szCs w:val="32"/>
        </w:rPr>
        <w:t>/</w:t>
      </w:r>
      <w:r>
        <w:rPr>
          <w:rFonts w:hint="eastAsia" w:ascii="仿宋_GB2312" w:hAnsi="仿宋" w:eastAsia="仿宋_GB2312" w:cs="仿宋_GB2312"/>
          <w:sz w:val="32"/>
          <w:szCs w:val="32"/>
        </w:rPr>
        <w:t>人。</w:t>
      </w:r>
    </w:p>
    <w:p>
      <w:pPr>
        <w:widowControl/>
        <w:spacing w:line="580" w:lineRule="exact"/>
        <w:ind w:firstLine="643" w:firstLineChars="200"/>
        <w:outlineLvl w:val="1"/>
        <w:rPr>
          <w:rFonts w:ascii="楷体_GB2312" w:hAnsi="楷体" w:eastAsia="楷体_GB2312"/>
          <w:sz w:val="32"/>
          <w:szCs w:val="32"/>
        </w:rPr>
      </w:pPr>
      <w:bookmarkStart w:id="30" w:name="_Toc14588"/>
      <w:r>
        <w:rPr>
          <w:rFonts w:hint="eastAsia" w:ascii="楷体_GB2312" w:hAnsi="楷体" w:eastAsia="楷体_GB2312" w:cs="楷体_GB2312"/>
          <w:b/>
          <w:bCs/>
          <w:sz w:val="32"/>
          <w:szCs w:val="32"/>
        </w:rPr>
        <w:t>（四）加快建筑新技术的应用推广</w:t>
      </w:r>
      <w:bookmarkEnd w:id="30"/>
    </w:p>
    <w:p>
      <w:pPr>
        <w:widowControl/>
        <w:spacing w:line="58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1. </w:t>
      </w:r>
      <w:r>
        <w:rPr>
          <w:rFonts w:hint="eastAsia" w:ascii="仿宋_GB2312" w:hAnsi="仿宋" w:eastAsia="仿宋_GB2312" w:cs="仿宋_GB2312"/>
          <w:b/>
          <w:bCs/>
          <w:sz w:val="32"/>
          <w:szCs w:val="32"/>
        </w:rPr>
        <w:t>大力发展以“节能、节地、节水、节材和环境保护”为核心特征的绿色建筑。</w:t>
      </w:r>
      <w:r>
        <w:rPr>
          <w:rFonts w:hint="eastAsia" w:ascii="仿宋_GB2312" w:hAnsi="仿宋" w:eastAsia="仿宋_GB2312" w:cs="仿宋_GB2312"/>
          <w:sz w:val="32"/>
          <w:szCs w:val="32"/>
        </w:rPr>
        <w:t>严格执行建筑节能强制性标准，提高绿色建筑标准的执行率；积极推进资阳区绿色建筑工作。到</w:t>
      </w:r>
      <w:r>
        <w:rPr>
          <w:rFonts w:ascii="仿宋_GB2312" w:hAnsi="仿宋" w:eastAsia="仿宋_GB2312" w:cs="仿宋_GB2312"/>
          <w:sz w:val="32"/>
          <w:szCs w:val="32"/>
        </w:rPr>
        <w:t>2025</w:t>
      </w:r>
      <w:r>
        <w:rPr>
          <w:rFonts w:hint="eastAsia" w:ascii="仿宋_GB2312" w:hAnsi="仿宋" w:eastAsia="仿宋_GB2312" w:cs="仿宋_GB2312"/>
          <w:sz w:val="32"/>
          <w:szCs w:val="32"/>
        </w:rPr>
        <w:t>年，全区</w:t>
      </w:r>
      <w:r>
        <w:rPr>
          <w:rFonts w:ascii="仿宋_GB2312" w:hAnsi="仿宋" w:eastAsia="仿宋_GB2312" w:cs="仿宋_GB2312"/>
          <w:sz w:val="32"/>
          <w:szCs w:val="32"/>
        </w:rPr>
        <w:t>50%</w:t>
      </w:r>
      <w:r>
        <w:rPr>
          <w:rFonts w:hint="eastAsia" w:ascii="仿宋_GB2312" w:hAnsi="仿宋" w:eastAsia="仿宋_GB2312" w:cs="仿宋_GB2312"/>
          <w:sz w:val="32"/>
          <w:szCs w:val="32"/>
        </w:rPr>
        <w:t>以上新建建筑达到绿色建筑标准。加快推进市政设施绿色建设，到</w:t>
      </w:r>
      <w:r>
        <w:rPr>
          <w:rFonts w:ascii="仿宋_GB2312" w:hAnsi="仿宋" w:eastAsia="仿宋_GB2312" w:cs="仿宋_GB2312"/>
          <w:sz w:val="32"/>
          <w:szCs w:val="32"/>
        </w:rPr>
        <w:t>2025</w:t>
      </w:r>
      <w:r>
        <w:rPr>
          <w:rFonts w:hint="eastAsia" w:ascii="仿宋_GB2312" w:hAnsi="仿宋" w:eastAsia="仿宋_GB2312" w:cs="仿宋_GB2312"/>
          <w:sz w:val="32"/>
          <w:szCs w:val="32"/>
        </w:rPr>
        <w:t>年底，全区完成市政绿色照明改造，节电率达到</w:t>
      </w:r>
      <w:r>
        <w:rPr>
          <w:rFonts w:ascii="仿宋_GB2312" w:hAnsi="仿宋" w:eastAsia="仿宋_GB2312" w:cs="仿宋_GB2312"/>
          <w:sz w:val="32"/>
          <w:szCs w:val="32"/>
        </w:rPr>
        <w:t>50%</w:t>
      </w:r>
      <w:r>
        <w:rPr>
          <w:rFonts w:hint="eastAsia" w:ascii="仿宋_GB2312" w:hAnsi="仿宋" w:eastAsia="仿宋_GB2312" w:cs="仿宋_GB2312"/>
          <w:sz w:val="32"/>
          <w:szCs w:val="32"/>
        </w:rPr>
        <w:t>以上。</w:t>
      </w:r>
    </w:p>
    <w:p>
      <w:pPr>
        <w:widowControl/>
        <w:spacing w:line="58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2. </w:t>
      </w:r>
      <w:r>
        <w:rPr>
          <w:rFonts w:hint="eastAsia" w:ascii="仿宋_GB2312" w:hAnsi="仿宋" w:eastAsia="仿宋_GB2312" w:cs="仿宋_GB2312"/>
          <w:b/>
          <w:bCs/>
          <w:sz w:val="32"/>
          <w:szCs w:val="32"/>
        </w:rPr>
        <w:t>编制海绵城市建设规划。</w:t>
      </w:r>
      <w:r>
        <w:rPr>
          <w:rFonts w:hint="eastAsia" w:ascii="仿宋_GB2312" w:hAnsi="仿宋" w:eastAsia="仿宋_GB2312" w:cs="仿宋_GB2312"/>
          <w:sz w:val="32"/>
          <w:szCs w:val="32"/>
        </w:rPr>
        <w:t>新建的市政道路、排水系统、地下管廊、公园等市政基础设施执行海绵城市的建设标准。</w:t>
      </w:r>
    </w:p>
    <w:p>
      <w:pPr>
        <w:widowControl/>
        <w:spacing w:line="580" w:lineRule="exact"/>
        <w:ind w:firstLine="643" w:firstLineChars="200"/>
        <w:rPr>
          <w:rFonts w:ascii="仿宋_GB2312" w:eastAsia="仿宋_GB2312"/>
          <w:sz w:val="32"/>
          <w:szCs w:val="32"/>
        </w:rPr>
      </w:pPr>
      <w:r>
        <w:rPr>
          <w:rFonts w:ascii="仿宋_GB2312" w:hAnsi="仿宋" w:eastAsia="仿宋_GB2312" w:cs="仿宋_GB2312"/>
          <w:b/>
          <w:bCs/>
          <w:sz w:val="32"/>
          <w:szCs w:val="32"/>
        </w:rPr>
        <w:t xml:space="preserve">3. </w:t>
      </w:r>
      <w:r>
        <w:rPr>
          <w:rFonts w:hint="eastAsia" w:ascii="仿宋_GB2312" w:hAnsi="仿宋" w:eastAsia="仿宋_GB2312" w:cs="仿宋_GB2312"/>
          <w:b/>
          <w:bCs/>
          <w:sz w:val="32"/>
          <w:szCs w:val="32"/>
        </w:rPr>
        <w:t>加快城市综合管廊建设。</w:t>
      </w:r>
      <w:r>
        <w:rPr>
          <w:rFonts w:hint="eastAsia" w:ascii="仿宋_GB2312" w:hAnsi="仿宋" w:eastAsia="仿宋_GB2312" w:cs="仿宋_GB2312"/>
          <w:sz w:val="32"/>
          <w:szCs w:val="32"/>
        </w:rPr>
        <w:t>开展城市综合管廊试点，城市新区、新建道路和工业园区推行城市地下管道综合走廊模式。推动城镇新区、工业园区、成片开发区的新建道路同步建设地下综合管廊，鼓励社会资本投资运营地下综合管廊。</w:t>
      </w:r>
    </w:p>
    <w:p>
      <w:pPr>
        <w:pStyle w:val="24"/>
        <w:spacing w:beforeLines="0" w:afterLines="0" w:line="580" w:lineRule="exact"/>
        <w:ind w:firstLine="31680"/>
        <w:rPr>
          <w:rFonts w:ascii="黑体" w:hAnsi="黑体" w:eastAsia="黑体" w:cs="Times New Roman"/>
          <w:b w:val="0"/>
          <w:bCs w:val="0"/>
          <w:color w:val="auto"/>
        </w:rPr>
      </w:pPr>
      <w:bookmarkStart w:id="31" w:name="_Toc6494"/>
      <w:r>
        <w:rPr>
          <w:rFonts w:hint="eastAsia" w:ascii="黑体" w:hAnsi="黑体" w:eastAsia="黑体" w:cs="黑体"/>
          <w:b w:val="0"/>
          <w:bCs w:val="0"/>
          <w:color w:val="auto"/>
        </w:rPr>
        <w:t>六、推进产城融合，提高新型城镇化发展质量</w:t>
      </w:r>
      <w:bookmarkEnd w:id="31"/>
    </w:p>
    <w:p>
      <w:pPr>
        <w:pStyle w:val="23"/>
        <w:spacing w:line="580" w:lineRule="exact"/>
        <w:ind w:firstLine="31680"/>
        <w:rPr>
          <w:rFonts w:ascii="楷体_GB2312" w:hAnsi="楷体" w:eastAsia="楷体_GB2312" w:cs="Times New Roman"/>
          <w:color w:val="auto"/>
        </w:rPr>
      </w:pPr>
      <w:bookmarkStart w:id="32" w:name="_Toc28550"/>
      <w:r>
        <w:rPr>
          <w:rFonts w:hint="eastAsia" w:ascii="楷体_GB2312" w:hAnsi="楷体" w:eastAsia="楷体_GB2312" w:cs="楷体_GB2312"/>
          <w:color w:val="auto"/>
        </w:rPr>
        <w:t>（一）优化产业布局</w:t>
      </w:r>
      <w:bookmarkEnd w:id="32"/>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合理布局产业。</w:t>
      </w:r>
      <w:r>
        <w:rPr>
          <w:rFonts w:hint="eastAsia" w:ascii="仿宋_GB2312" w:eastAsia="仿宋_GB2312" w:cs="仿宋_GB2312"/>
          <w:color w:val="auto"/>
        </w:rPr>
        <w:t>按照“一乡一特、一村一品”的思路，利用区域范围内现有资源，合理挖掘和培育、状大特色产业。</w:t>
      </w:r>
      <w:r>
        <w:rPr>
          <w:rFonts w:hint="eastAsia" w:ascii="仿宋_GB2312" w:eastAsia="仿宋_GB2312" w:cs="仿宋_GB2312"/>
          <w:color w:val="auto"/>
          <w:spacing w:val="-6"/>
        </w:rPr>
        <w:t>各地的特色产业不相互之间产生恶性竞争，应相互抱团发展状大。</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发展产业特色小镇。</w:t>
      </w:r>
      <w:r>
        <w:rPr>
          <w:rFonts w:hint="eastAsia" w:ascii="仿宋_GB2312" w:eastAsia="仿宋_GB2312" w:cs="仿宋_GB2312"/>
          <w:color w:val="auto"/>
        </w:rPr>
        <w:t>因地制宜、突出特色、创新机制，充分发挥市场主体作用，推动小城镇发展与特色产业发展相结合、与服务“三农”相结合。发展具有特色优势的休闲旅游、商贸物流、信息产业、先进制造、民俗文化传承、科技教育等魅力小镇，带动农业现代化和农民就近城镇化。</w:t>
      </w:r>
    </w:p>
    <w:p>
      <w:pPr>
        <w:pStyle w:val="23"/>
        <w:spacing w:line="600" w:lineRule="exact"/>
        <w:ind w:firstLine="31680"/>
        <w:rPr>
          <w:rFonts w:ascii="楷体_GB2312" w:hAnsi="楷体" w:eastAsia="楷体_GB2312" w:cs="Times New Roman"/>
          <w:color w:val="auto"/>
        </w:rPr>
      </w:pPr>
      <w:bookmarkStart w:id="33" w:name="_Toc2830"/>
      <w:r>
        <w:rPr>
          <w:rFonts w:hint="eastAsia" w:ascii="楷体_GB2312" w:hAnsi="楷体" w:eastAsia="楷体_GB2312" w:cs="楷体_GB2312"/>
          <w:color w:val="auto"/>
        </w:rPr>
        <w:t>（二）加强产业园区建设</w:t>
      </w:r>
      <w:bookmarkEnd w:id="33"/>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加快园区调区扩区步伐。</w:t>
      </w:r>
      <w:r>
        <w:rPr>
          <w:rFonts w:hint="eastAsia" w:ascii="仿宋_GB2312" w:eastAsia="仿宋_GB2312" w:cs="仿宋_GB2312"/>
          <w:color w:val="auto"/>
        </w:rPr>
        <w:t>要利用国土空间规划编制契机，加快工业园区土地调规和行政区划调整，为未来园区发展预留空间。</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加快产业布局。</w:t>
      </w:r>
      <w:r>
        <w:rPr>
          <w:rFonts w:hint="eastAsia" w:ascii="仿宋_GB2312" w:eastAsia="仿宋_GB2312" w:cs="仿宋_GB2312"/>
          <w:color w:val="auto"/>
        </w:rPr>
        <w:t>园区要在“一区三园”产业布局基础上，突出</w:t>
      </w:r>
      <w:r>
        <w:rPr>
          <w:rFonts w:ascii="仿宋_GB2312" w:eastAsia="仿宋_GB2312" w:cs="仿宋_GB2312"/>
          <w:color w:val="auto"/>
        </w:rPr>
        <w:t>PCB</w:t>
      </w:r>
      <w:r>
        <w:rPr>
          <w:rFonts w:hint="eastAsia" w:ascii="仿宋_GB2312" w:eastAsia="仿宋_GB2312" w:cs="仿宋_GB2312"/>
          <w:color w:val="auto"/>
        </w:rPr>
        <w:t>龙头产业核心，打造中国</w:t>
      </w:r>
      <w:r>
        <w:rPr>
          <w:rFonts w:ascii="仿宋_GB2312" w:eastAsia="仿宋_GB2312" w:cs="仿宋_GB2312"/>
          <w:color w:val="auto"/>
        </w:rPr>
        <w:t>PCB</w:t>
      </w:r>
      <w:r>
        <w:rPr>
          <w:rFonts w:hint="eastAsia" w:ascii="仿宋_GB2312" w:eastAsia="仿宋_GB2312" w:cs="仿宋_GB2312"/>
          <w:color w:val="auto"/>
        </w:rPr>
        <w:t>产业第三极，推进特色产业园区建设。</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加强功能分区。</w:t>
      </w:r>
      <w:r>
        <w:rPr>
          <w:rFonts w:hint="eastAsia" w:ascii="仿宋_GB2312" w:eastAsia="仿宋_GB2312" w:cs="仿宋_GB2312"/>
          <w:color w:val="auto"/>
        </w:rPr>
        <w:t>要按照工业园区产业布局，统筹考虑园区工业发展与城市建设之间的关系，强化园区的水、电、气、路等基础设施和医疗卫生、教育等公共报务设施建设，增加园区的承载力，实现产城融合。</w:t>
      </w:r>
    </w:p>
    <w:p>
      <w:pPr>
        <w:pStyle w:val="23"/>
        <w:spacing w:line="600" w:lineRule="exact"/>
        <w:ind w:firstLine="31680"/>
        <w:rPr>
          <w:rFonts w:ascii="楷体_GB2312" w:hAnsi="楷体" w:eastAsia="楷体_GB2312" w:cs="Times New Roman"/>
          <w:color w:val="auto"/>
        </w:rPr>
      </w:pPr>
      <w:bookmarkStart w:id="34" w:name="_Toc4778"/>
      <w:r>
        <w:rPr>
          <w:rFonts w:hint="eastAsia" w:ascii="楷体_GB2312" w:hAnsi="楷体" w:eastAsia="楷体_GB2312" w:cs="楷体_GB2312"/>
          <w:color w:val="auto"/>
        </w:rPr>
        <w:t>（三）提高产业的集聚效益</w:t>
      </w:r>
      <w:bookmarkEnd w:id="34"/>
    </w:p>
    <w:p>
      <w:pPr>
        <w:pStyle w:val="23"/>
        <w:spacing w:line="600" w:lineRule="exact"/>
        <w:ind w:firstLine="31680"/>
        <w:rPr>
          <w:rFonts w:ascii="仿宋_GB2312" w:eastAsia="仿宋_GB2312" w:cs="Times New Roman"/>
          <w:b w:val="0"/>
          <w:bCs w:val="0"/>
          <w:color w:val="auto"/>
        </w:rPr>
      </w:pPr>
      <w:bookmarkStart w:id="35" w:name="_Toc4271"/>
      <w:bookmarkStart w:id="36" w:name="_Toc24448"/>
      <w:bookmarkStart w:id="37" w:name="_Toc15062"/>
      <w:bookmarkStart w:id="38" w:name="_Toc13906"/>
      <w:bookmarkStart w:id="39" w:name="_Toc6017"/>
      <w:bookmarkStart w:id="40" w:name="_Toc8147"/>
      <w:r>
        <w:rPr>
          <w:rFonts w:ascii="仿宋_GB2312" w:eastAsia="仿宋_GB2312" w:cs="仿宋_GB2312"/>
          <w:color w:val="auto"/>
        </w:rPr>
        <w:t xml:space="preserve">1. </w:t>
      </w:r>
      <w:r>
        <w:rPr>
          <w:rFonts w:hint="eastAsia" w:ascii="仿宋_GB2312" w:eastAsia="仿宋_GB2312" w:cs="仿宋_GB2312"/>
          <w:color w:val="auto"/>
        </w:rPr>
        <w:t>建立现代农业产业体系。</w:t>
      </w:r>
      <w:r>
        <w:rPr>
          <w:rFonts w:hint="eastAsia" w:ascii="仿宋_GB2312" w:eastAsia="仿宋_GB2312" w:cs="仿宋_GB2312"/>
          <w:b w:val="0"/>
          <w:bCs w:val="0"/>
          <w:color w:val="auto"/>
        </w:rPr>
        <w:t>推进农业“</w:t>
      </w:r>
      <w:r>
        <w:rPr>
          <w:rFonts w:ascii="仿宋_GB2312" w:eastAsia="仿宋_GB2312" w:cs="仿宋_GB2312"/>
          <w:b w:val="0"/>
          <w:bCs w:val="0"/>
          <w:color w:val="auto"/>
        </w:rPr>
        <w:t>1</w:t>
      </w:r>
      <w:r>
        <w:rPr>
          <w:rFonts w:hint="eastAsia" w:ascii="仿宋_GB2312" w:eastAsia="仿宋_GB2312" w:cs="仿宋_GB2312"/>
          <w:b w:val="0"/>
          <w:bCs w:val="0"/>
          <w:color w:val="auto"/>
        </w:rPr>
        <w:t>＋</w:t>
      </w:r>
      <w:r>
        <w:rPr>
          <w:rFonts w:ascii="仿宋_GB2312" w:eastAsia="仿宋_GB2312" w:cs="仿宋_GB2312"/>
          <w:b w:val="0"/>
          <w:bCs w:val="0"/>
          <w:color w:val="auto"/>
        </w:rPr>
        <w:t>3</w:t>
      </w:r>
      <w:r>
        <w:rPr>
          <w:rFonts w:hint="eastAsia" w:ascii="仿宋_GB2312" w:eastAsia="仿宋_GB2312" w:cs="仿宋_GB2312"/>
          <w:b w:val="0"/>
          <w:bCs w:val="0"/>
          <w:color w:val="auto"/>
        </w:rPr>
        <w:t>”产业发展，以粮食为基础产业，发展“蔬菜、水产、花卉苗木”三大产业。以民主垸为重点，发展粮食基础产业；以紫薇村为龙头，发展乡村旅游业；以大码头为中心，加快明清古巷建设，大力发展文旅产业。加快发展现代物流业，逐步构建资阳区与周边地区经济发展相适应的现代物流服务体系；大力发展金融服务、商务会展、信息咨询、文化教育、家政服务等新兴产业，全面助推资阳区现代服务业发展提质提速。</w:t>
      </w:r>
      <w:bookmarkEnd w:id="35"/>
      <w:bookmarkEnd w:id="36"/>
      <w:bookmarkEnd w:id="37"/>
      <w:bookmarkEnd w:id="38"/>
      <w:bookmarkEnd w:id="39"/>
      <w:bookmarkEnd w:id="40"/>
    </w:p>
    <w:p>
      <w:pPr>
        <w:pStyle w:val="23"/>
        <w:spacing w:line="600" w:lineRule="exact"/>
        <w:ind w:firstLine="31680"/>
        <w:rPr>
          <w:rFonts w:ascii="仿宋_GB2312" w:eastAsia="仿宋_GB2312" w:cs="Times New Roman"/>
          <w:b w:val="0"/>
          <w:bCs w:val="0"/>
          <w:color w:val="auto"/>
        </w:rPr>
      </w:pPr>
      <w:bookmarkStart w:id="41" w:name="_Toc21695"/>
      <w:bookmarkStart w:id="42" w:name="_Toc13837"/>
      <w:bookmarkStart w:id="43" w:name="_Toc6590"/>
      <w:bookmarkStart w:id="44" w:name="_Toc25583"/>
      <w:bookmarkStart w:id="45" w:name="_Toc4828"/>
      <w:bookmarkStart w:id="46" w:name="_Toc11715"/>
      <w:r>
        <w:rPr>
          <w:rFonts w:ascii="仿宋_GB2312" w:eastAsia="仿宋_GB2312" w:cs="仿宋_GB2312"/>
          <w:color w:val="auto"/>
        </w:rPr>
        <w:t xml:space="preserve">2. </w:t>
      </w:r>
      <w:r>
        <w:rPr>
          <w:rFonts w:hint="eastAsia" w:ascii="仿宋_GB2312" w:eastAsia="仿宋_GB2312" w:cs="仿宋_GB2312"/>
          <w:color w:val="auto"/>
        </w:rPr>
        <w:t>加快产业转型升级。</w:t>
      </w:r>
      <w:r>
        <w:rPr>
          <w:rFonts w:hint="eastAsia" w:ascii="仿宋_GB2312" w:eastAsia="仿宋_GB2312" w:cs="仿宋_GB2312"/>
          <w:b w:val="0"/>
          <w:bCs w:val="0"/>
          <w:color w:val="auto"/>
        </w:rPr>
        <w:t>以园区为载体，通过招商引资、本土培育等方法，大力发展高智能制造业、电子信息产业、新材料新能源产业等高新产业，加快资阳区的产业升级和转型换代。</w:t>
      </w:r>
      <w:bookmarkEnd w:id="41"/>
      <w:bookmarkEnd w:id="42"/>
      <w:bookmarkEnd w:id="43"/>
      <w:bookmarkEnd w:id="44"/>
      <w:bookmarkEnd w:id="45"/>
      <w:bookmarkEnd w:id="46"/>
    </w:p>
    <w:p>
      <w:pPr>
        <w:pStyle w:val="24"/>
        <w:spacing w:beforeLines="0" w:afterLines="0" w:line="600" w:lineRule="exact"/>
        <w:ind w:firstLine="31680"/>
        <w:rPr>
          <w:rFonts w:ascii="黑体" w:hAnsi="黑体" w:eastAsia="黑体" w:cs="Times New Roman"/>
          <w:b w:val="0"/>
          <w:bCs w:val="0"/>
          <w:color w:val="auto"/>
        </w:rPr>
      </w:pPr>
      <w:bookmarkStart w:id="47" w:name="_Toc20495"/>
      <w:r>
        <w:rPr>
          <w:rFonts w:hint="eastAsia" w:ascii="黑体" w:hAnsi="黑体" w:eastAsia="黑体" w:cs="黑体"/>
          <w:b w:val="0"/>
          <w:bCs w:val="0"/>
          <w:color w:val="auto"/>
        </w:rPr>
        <w:t>七、整治农村人居环境，加快美丽乡村建设</w:t>
      </w:r>
      <w:bookmarkEnd w:id="47"/>
    </w:p>
    <w:p>
      <w:pPr>
        <w:pStyle w:val="23"/>
        <w:spacing w:line="600" w:lineRule="exact"/>
        <w:ind w:firstLine="31680"/>
        <w:rPr>
          <w:rFonts w:ascii="楷体_GB2312" w:hAnsi="楷体" w:eastAsia="楷体_GB2312" w:cs="Times New Roman"/>
          <w:color w:val="auto"/>
        </w:rPr>
      </w:pPr>
      <w:bookmarkStart w:id="48" w:name="_Toc32710"/>
      <w:r>
        <w:rPr>
          <w:rFonts w:hint="eastAsia" w:ascii="楷体_GB2312" w:hAnsi="楷体" w:eastAsia="楷体_GB2312" w:cs="楷体_GB2312"/>
          <w:color w:val="auto"/>
        </w:rPr>
        <w:t>（一）推进生态建设，提升人居环境质量</w:t>
      </w:r>
      <w:bookmarkEnd w:id="48"/>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加大农村环境综合整治。</w:t>
      </w:r>
      <w:r>
        <w:rPr>
          <w:rFonts w:hint="eastAsia" w:ascii="仿宋_GB2312" w:eastAsia="仿宋_GB2312" w:cs="仿宋_GB2312"/>
          <w:color w:val="auto"/>
        </w:rPr>
        <w:t>控制农村面源污染，推进农村垃圾和土壤环境整治，严禁向主要农产品产地倾倒固体废弃物，控制城市和工业污染向农村扩散。按照“四有两无清洁村”的标准构建农村垃圾治理的长效机制，统筹考虑生活垃圾和农业生产废弃物利用、处理，建立健全符合农村实际、方式多样的生活垃圾收运处置体系。推行适合农村特点的垃圾就地分类和资源化利用方式；严格执行农村垃圾处理原则，严禁非正规填埋。到</w:t>
      </w:r>
      <w:r>
        <w:rPr>
          <w:rFonts w:ascii="仿宋_GB2312" w:eastAsia="仿宋_GB2312" w:cs="仿宋_GB2312"/>
          <w:color w:val="auto"/>
        </w:rPr>
        <w:t>2025</w:t>
      </w:r>
      <w:r>
        <w:rPr>
          <w:rFonts w:hint="eastAsia" w:ascii="仿宋_GB2312" w:eastAsia="仿宋_GB2312" w:cs="仿宋_GB2312"/>
          <w:color w:val="auto"/>
        </w:rPr>
        <w:t>年，资阳区设立科学合理的垃圾处理规划和处理设施，农村垃圾集中处理率达</w:t>
      </w:r>
      <w:r>
        <w:rPr>
          <w:rFonts w:ascii="仿宋_GB2312" w:eastAsia="仿宋_GB2312" w:cs="仿宋_GB2312"/>
          <w:color w:val="auto"/>
        </w:rPr>
        <w:t>98%</w:t>
      </w:r>
      <w:r>
        <w:rPr>
          <w:rFonts w:hint="eastAsia" w:ascii="仿宋_GB2312" w:eastAsia="仿宋_GB2312" w:cs="仿宋_GB2312"/>
          <w:color w:val="auto"/>
        </w:rPr>
        <w:t>以上。</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开展厕所粪污治理。</w:t>
      </w:r>
      <w:r>
        <w:rPr>
          <w:rFonts w:hint="eastAsia" w:ascii="仿宋_GB2312" w:eastAsia="仿宋_GB2312" w:cs="仿宋_GB2312"/>
          <w:color w:val="auto"/>
        </w:rPr>
        <w:t>合理选择改厕模式，推进厕所革命。要按照群众接受、经济适用、维护方便、不污染公共水体的要求，普及不同水平的卫生厕所。引导农村新建住房配套建设无害化卫生厕所，人口规模较大村庄配套建设公共厕所。加强改厕与农村生活污水治理的有效衔接。鼓励各地结合实际，将厕所粪污、畜禽养殖废弃物一并处理并资源化利用。</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加强农村污水治理。</w:t>
      </w:r>
      <w:r>
        <w:rPr>
          <w:rFonts w:hint="eastAsia" w:ascii="仿宋_GB2312" w:eastAsia="仿宋_GB2312" w:cs="仿宋_GB2312"/>
          <w:color w:val="auto"/>
        </w:rPr>
        <w:t>根据农村不同区位条件、村庄人口聚集程度、污水产生规模，因地制宜采用污染治理与资源利用相结合、工程措施与生态措施相结合、集中与分散相结合的建设模式和处理工艺。推动城镇污水管网向周边村庄延伸覆盖。积极推广低成本、低能耗、易维护、高效率的污水处理技术，鼓励采用生态处理工艺。加强生活污水源头减量和尾水回收利用。以房前屋后河塘沟渠为重点实施清淤疏浚，采取综合措施恢复水生态，逐步消除农村黑臭水体。将农村水环境治理纳入河长制、湖长制管理。</w:t>
      </w:r>
      <w:r>
        <w:rPr>
          <w:rFonts w:ascii="仿宋_GB2312" w:eastAsia="仿宋_GB2312" w:cs="仿宋_GB2312"/>
          <w:color w:val="auto"/>
        </w:rPr>
        <w:t>2025</w:t>
      </w:r>
      <w:r>
        <w:rPr>
          <w:rFonts w:hint="eastAsia" w:ascii="仿宋_GB2312" w:eastAsia="仿宋_GB2312" w:cs="仿宋_GB2312"/>
          <w:color w:val="auto"/>
        </w:rPr>
        <w:t>年，农村集中居住区的生活污水处理率要达到</w:t>
      </w:r>
      <w:r>
        <w:rPr>
          <w:rFonts w:ascii="仿宋_GB2312" w:eastAsia="仿宋_GB2312" w:cs="仿宋_GB2312"/>
          <w:color w:val="auto"/>
        </w:rPr>
        <w:t>95%</w:t>
      </w:r>
      <w:r>
        <w:rPr>
          <w:rFonts w:hint="eastAsia" w:ascii="仿宋_GB2312" w:eastAsia="仿宋_GB2312" w:cs="仿宋_GB2312"/>
          <w:color w:val="auto"/>
        </w:rPr>
        <w:t>以上，农村生产污水处理率要达到</w:t>
      </w:r>
      <w:r>
        <w:rPr>
          <w:rFonts w:ascii="仿宋_GB2312" w:eastAsia="仿宋_GB2312" w:cs="仿宋_GB2312"/>
          <w:color w:val="auto"/>
        </w:rPr>
        <w:t>98%</w:t>
      </w:r>
      <w:r>
        <w:rPr>
          <w:rFonts w:hint="eastAsia" w:ascii="仿宋_GB2312" w:eastAsia="仿宋_GB2312" w:cs="仿宋_GB2312"/>
          <w:color w:val="auto"/>
        </w:rPr>
        <w:t>以上，农村分散居住地区普及“一户一用、多户联用”的简易生活污水分散处理模式。</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提升村容村貌。</w:t>
      </w:r>
      <w:r>
        <w:rPr>
          <w:rFonts w:hint="eastAsia" w:ascii="仿宋_GB2312" w:eastAsia="仿宋_GB2312" w:cs="仿宋_GB2312"/>
          <w:color w:val="auto"/>
        </w:rPr>
        <w:t>加快推进通村组道路、入户道路建设，基本解决村内道路泥泞、村民出行不便等问题。充分利用本地资源，因地制宜选择路面材料。整治公共空间和庭院环境，消除私搭乱建、乱堆乱放。大力提升农村建筑风貌，突出乡土特色和地域民族特点。加大传统村落民居和历史文化名村名镇保护力度，弘扬传统农耕文化，提升田园风光品质。推进村庄绿化，充分利用闲置土地组织开展植树造林、湿地恢复等活动，建设绿色生态村庄。完善村庄公共照明设施。深入开展城乡环境卫生整洁行动，推进美丽乡村建设工作。</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5. </w:t>
      </w:r>
      <w:r>
        <w:rPr>
          <w:rFonts w:hint="eastAsia" w:ascii="仿宋_GB2312" w:eastAsia="仿宋_GB2312" w:cs="仿宋_GB2312"/>
          <w:b/>
          <w:bCs/>
          <w:color w:val="auto"/>
        </w:rPr>
        <w:t>完善建设和管护机制。</w:t>
      </w:r>
      <w:r>
        <w:rPr>
          <w:rFonts w:hint="eastAsia" w:ascii="仿宋_GB2312" w:eastAsia="仿宋_GB2312" w:cs="仿宋_GB2312"/>
          <w:color w:val="auto"/>
        </w:rPr>
        <w:t>明确地方党委和政府以及有关部门、运行管理单位责任，基本建立有制度、有标准、有队伍、有经费、有督查的村庄人居环境管护长效机制。鼓励专业化、市场化建设和运行管护，有条件的地区推行城乡垃圾污水处理统一规划、统一建设、统一运行、统一管理。推行环境治理依效付费制度，健全服务绩效评价考核机制。鼓励有条件的乡镇探索建立垃圾污水处理农户付费制度，完善财政补贴和农户付费合理分担机制。支持村级组织和农村“工匠”带头人等承接村内环境整治、村内道路、植树造林等小型涉农工程项目。组织开展专业化培训，把当地村民培养成为村内公益性基础设施运行维护的重要力量。简化农村人居环境整治建设项目审批和招投标程序，降低建设成本，确保工程质量。</w:t>
      </w:r>
    </w:p>
    <w:p>
      <w:pPr>
        <w:pStyle w:val="23"/>
        <w:spacing w:line="600" w:lineRule="exact"/>
        <w:ind w:firstLine="31680"/>
        <w:rPr>
          <w:rFonts w:ascii="楷体_GB2312" w:hAnsi="楷体" w:eastAsia="楷体_GB2312" w:cs="Times New Roman"/>
          <w:color w:val="auto"/>
        </w:rPr>
      </w:pPr>
      <w:bookmarkStart w:id="49" w:name="_Toc25407"/>
      <w:r>
        <w:rPr>
          <w:rFonts w:hint="eastAsia" w:ascii="楷体_GB2312" w:hAnsi="楷体" w:eastAsia="楷体_GB2312" w:cs="楷体_GB2312"/>
          <w:color w:val="auto"/>
        </w:rPr>
        <w:t>（二）聚焦农房建设，改善村民住房条件</w:t>
      </w:r>
      <w:bookmarkEnd w:id="49"/>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积极开展农村危房改造。</w:t>
      </w:r>
      <w:r>
        <w:rPr>
          <w:rFonts w:hint="eastAsia" w:ascii="仿宋_GB2312" w:eastAsia="仿宋_GB2312" w:cs="仿宋_GB2312"/>
          <w:color w:val="auto"/>
        </w:rPr>
        <w:t>加强农村危房普查工作力度，建立农村危房信息库，分批次地推进农村危房改造；农村危房改造结合美丽乡村建设、乡村振兴等政策，严格审批农村危房改造对象，统一建设、验收、资金发放等标准。到</w:t>
      </w:r>
      <w:r>
        <w:rPr>
          <w:rFonts w:ascii="仿宋_GB2312" w:eastAsia="仿宋_GB2312" w:cs="仿宋_GB2312"/>
          <w:color w:val="auto"/>
        </w:rPr>
        <w:t>2025</w:t>
      </w:r>
      <w:r>
        <w:rPr>
          <w:rFonts w:hint="eastAsia" w:ascii="仿宋_GB2312" w:eastAsia="仿宋_GB2312" w:cs="仿宋_GB2312"/>
          <w:color w:val="auto"/>
        </w:rPr>
        <w:t>年，资阳区范围内完成农村危房改造任务，实现“危房基本解决、布局较为合理、设施基本配套、环境较为整洁、风貌得到保护”的目标。</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规范农村村民住房建设。</w:t>
      </w:r>
      <w:r>
        <w:rPr>
          <w:rFonts w:hint="eastAsia" w:ascii="仿宋_GB2312" w:eastAsia="仿宋_GB2312" w:cs="仿宋_GB2312"/>
          <w:color w:val="auto"/>
        </w:rPr>
        <w:t>农村住房建设应符合资阳区人民政府有关规定、村庄规划和相关保护规划要求。自然资源主管部门负责指导乡镇做好农村住房建设选址及乡村建设规划许可证发放工作。农业农村部门负责指导乡镇做好城镇规划区外农村村民住房建设的农村宅基地批准书核发工作。乡镇人民政府负责核查房屋选址是否符合规划要求、是否存在地质灾害隐患等</w:t>
      </w:r>
      <w:r>
        <w:rPr>
          <w:rFonts w:ascii="仿宋_GB2312" w:eastAsia="仿宋_GB2312" w:cs="仿宋_GB2312"/>
          <w:color w:val="auto"/>
        </w:rPr>
        <w:t>;</w:t>
      </w:r>
      <w:r>
        <w:rPr>
          <w:rFonts w:hint="eastAsia" w:ascii="仿宋_GB2312" w:eastAsia="仿宋_GB2312" w:cs="仿宋_GB2312"/>
          <w:color w:val="auto"/>
        </w:rPr>
        <w:t>严格控制切坡建房，对确需切坡的，应指导建房村民按照有关技术规范做好坡体防护。</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开展规范农村住房建设试点。</w:t>
      </w:r>
      <w:r>
        <w:rPr>
          <w:rFonts w:hint="eastAsia" w:ascii="仿宋_GB2312" w:eastAsia="仿宋_GB2312" w:cs="仿宋_GB2312"/>
          <w:color w:val="auto"/>
        </w:rPr>
        <w:t>积极开展规范农村住房建设试点。探索成立劳务公司或建筑施工企业，并积极培养合格农村建筑工匠，将农村建设工匠纳入统一规范管理。全区农村住房建设由有资质的建筑施工企业、劳务公司或取得培训合格证书的乡村建设工匠承建，确保农村住房建设施工质量和安全。到</w:t>
      </w:r>
      <w:r>
        <w:rPr>
          <w:rFonts w:ascii="仿宋_GB2312" w:eastAsia="仿宋_GB2312" w:cs="仿宋_GB2312"/>
          <w:color w:val="auto"/>
        </w:rPr>
        <w:t>2025</w:t>
      </w:r>
      <w:r>
        <w:rPr>
          <w:rFonts w:hint="eastAsia" w:ascii="仿宋_GB2312" w:eastAsia="仿宋_GB2312" w:cs="仿宋_GB2312"/>
          <w:color w:val="auto"/>
        </w:rPr>
        <w:t>年底，全区农村住房建设均由劳务公司、建筑施工企业承建，逐步实现规范化、标准化、集约化。</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凸显农村住房建筑设计示范图集的功能，建立健全乡村风貌提升长效管理机制。</w:t>
      </w:r>
      <w:r>
        <w:rPr>
          <w:rFonts w:hint="eastAsia" w:ascii="仿宋_GB2312" w:eastAsia="仿宋_GB2312" w:cs="仿宋_GB2312"/>
          <w:color w:val="auto"/>
        </w:rPr>
        <w:t>区住房城乡建设局要广泛征求意见，制定符合资阳实际区域风貌的农村住房建筑设计示范图集，免费供村民选择，并提供技术咨询和指导服务，同时将农村住房风貌管理要求纳入乡村工匠培训的内容。乡镇人民政府应加强对“示范图集”的宣传、推广实施工作。</w:t>
      </w:r>
    </w:p>
    <w:p>
      <w:pPr>
        <w:pStyle w:val="24"/>
        <w:spacing w:beforeLines="0" w:afterLines="0" w:line="600" w:lineRule="exact"/>
        <w:ind w:firstLine="31680"/>
        <w:rPr>
          <w:rFonts w:ascii="黑体" w:hAnsi="黑体" w:eastAsia="黑体" w:cs="Times New Roman"/>
          <w:b w:val="0"/>
          <w:bCs w:val="0"/>
          <w:color w:val="auto"/>
        </w:rPr>
      </w:pPr>
      <w:bookmarkStart w:id="50" w:name="_Toc32165"/>
      <w:r>
        <w:rPr>
          <w:rFonts w:hint="eastAsia" w:ascii="黑体" w:hAnsi="黑体" w:eastAsia="黑体" w:cs="黑体"/>
          <w:b w:val="0"/>
          <w:bCs w:val="0"/>
          <w:color w:val="auto"/>
        </w:rPr>
        <w:t>八、建设智慧城市，创新城镇管理</w:t>
      </w:r>
      <w:bookmarkEnd w:id="50"/>
    </w:p>
    <w:p>
      <w:pPr>
        <w:pStyle w:val="23"/>
        <w:spacing w:line="600" w:lineRule="exact"/>
        <w:ind w:firstLine="31680"/>
        <w:rPr>
          <w:rFonts w:ascii="楷体_GB2312" w:hAnsi="楷体" w:eastAsia="楷体_GB2312" w:cs="Times New Roman"/>
          <w:color w:val="auto"/>
        </w:rPr>
      </w:pPr>
      <w:bookmarkStart w:id="51" w:name="_Toc18926"/>
      <w:r>
        <w:rPr>
          <w:rFonts w:hint="eastAsia" w:ascii="楷体_GB2312" w:hAnsi="楷体" w:eastAsia="楷体_GB2312" w:cs="楷体_GB2312"/>
          <w:color w:val="auto"/>
        </w:rPr>
        <w:t>（一）建设智慧城市</w:t>
      </w:r>
      <w:bookmarkEnd w:id="51"/>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建立平台系统。</w:t>
      </w:r>
      <w:r>
        <w:rPr>
          <w:rFonts w:hint="eastAsia" w:ascii="仿宋_GB2312" w:eastAsia="仿宋_GB2312" w:cs="仿宋_GB2312"/>
          <w:color w:val="auto"/>
        </w:rPr>
        <w:t>统筹城市发展的物质资源、信息资源和智力资源利用，推动物联网、云计算、大数据等新一代信息技术创新应用，实现与城市经济社会发展深度融合。按照“标准统一、资源整合、因地制宜、信息共享”的原则，建设功能完善的城镇管理基础数据共享平台，促进跨部门、跨行业、跨地区的政务信息共享和业务协同，强化信息资源社会化开发利用。逐步扩大数字城管系统接入范围，实现业务处理自动化、移动指挥智能化、监控可视化、监督举报社会化以及信息交换管理网络化。</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实施新型智慧城市行动。</w:t>
      </w:r>
      <w:r>
        <w:rPr>
          <w:rFonts w:hint="eastAsia" w:ascii="仿宋_GB2312" w:eastAsia="仿宋_GB2312" w:cs="仿宋_GB2312"/>
          <w:color w:val="auto"/>
        </w:rPr>
        <w:t>完善城市数字化管理平台和感知系统，打通社区末端、织密数据网格，整合卫生健康、公共安全、应急管理、交通运输等领域信息系统和数据资源，深化政务服务“一网通办”、城市运行“一网统管”，支撑城市健康高效运行和突发事件快速智能响应。</w:t>
      </w:r>
    </w:p>
    <w:p>
      <w:pPr>
        <w:pStyle w:val="23"/>
        <w:spacing w:line="600" w:lineRule="exact"/>
        <w:ind w:firstLine="31680"/>
        <w:rPr>
          <w:rFonts w:ascii="楷体_GB2312" w:hAnsi="楷体" w:eastAsia="楷体_GB2312" w:cs="Times New Roman"/>
          <w:color w:val="auto"/>
        </w:rPr>
      </w:pPr>
      <w:bookmarkStart w:id="52" w:name="_Toc5332"/>
      <w:r>
        <w:rPr>
          <w:rFonts w:hint="eastAsia" w:ascii="楷体_GB2312" w:hAnsi="楷体" w:eastAsia="楷体_GB2312" w:cs="楷体_GB2312"/>
          <w:color w:val="auto"/>
        </w:rPr>
        <w:t>（二）创新城镇管理</w:t>
      </w:r>
      <w:bookmarkEnd w:id="52"/>
    </w:p>
    <w:p>
      <w:pPr>
        <w:spacing w:line="600" w:lineRule="exact"/>
        <w:ind w:firstLine="643" w:firstLineChars="200"/>
        <w:rPr>
          <w:rFonts w:ascii="仿宋_GB2312" w:hAnsi="仿宋" w:eastAsia="仿宋_GB2312"/>
          <w:b/>
          <w:bCs/>
          <w:sz w:val="32"/>
          <w:szCs w:val="32"/>
        </w:rPr>
      </w:pPr>
      <w:r>
        <w:rPr>
          <w:rFonts w:ascii="仿宋_GB2312" w:hAnsi="仿宋" w:eastAsia="仿宋_GB2312" w:cs="仿宋_GB2312"/>
          <w:b/>
          <w:bCs/>
          <w:sz w:val="32"/>
          <w:szCs w:val="32"/>
        </w:rPr>
        <w:t xml:space="preserve">1. </w:t>
      </w:r>
      <w:r>
        <w:rPr>
          <w:rFonts w:hint="eastAsia" w:ascii="仿宋_GB2312" w:hAnsi="仿宋" w:eastAsia="仿宋_GB2312" w:cs="仿宋_GB2312"/>
          <w:b/>
          <w:bCs/>
          <w:sz w:val="32"/>
          <w:szCs w:val="32"/>
        </w:rPr>
        <w:t>创新城镇规划建设管理机制</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完善专项规划、控制性详细规划、园区建设规划和村镇规划的编制和修改工作；加快推进建设项目并联审批；建立城镇规划管理责任追究制度，加强地方人大对城镇规划管理的监督检查；加大对违反规划的建设行为查处力度，维护城镇规划的严肃性和权威性。</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建立国土空间规划体系并监督实施，将主体功能规划、土地利用规划、城乡规划等空间规划融合为统一的国土空间规划，</w:t>
      </w:r>
      <w:r>
        <w:rPr>
          <w:rFonts w:hint="eastAsia" w:ascii="仿宋_GB2312" w:hAnsi="仿宋" w:eastAsia="仿宋_GB2312" w:cs="仿宋_GB2312"/>
          <w:spacing w:val="-6"/>
          <w:sz w:val="32"/>
          <w:szCs w:val="32"/>
        </w:rPr>
        <w:t>实现“多规合一”，强化国土空间规划对各专业规划的约束作用。</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加强乡镇规划的管理队伍建设。乡镇成立规划委员会，由乡镇政府主要领导任主任，同时健全规划例会制度。将乡镇国土资源所与村镇建设站整合，设立国土规划建设环保所，承担规划、国土、建设、环保、村镇管理等具体管理服务和执法职责。加强乡镇规划建设管理，保证村镇规划建设管理工作经费。</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2. </w:t>
      </w:r>
      <w:r>
        <w:rPr>
          <w:rFonts w:hint="eastAsia" w:ascii="仿宋_GB2312" w:hAnsi="仿宋" w:eastAsia="仿宋_GB2312" w:cs="仿宋_GB2312"/>
          <w:b/>
          <w:bCs/>
          <w:sz w:val="32"/>
          <w:szCs w:val="32"/>
        </w:rPr>
        <w:t>创新群众自治制度。</w:t>
      </w:r>
      <w:r>
        <w:rPr>
          <w:rFonts w:hint="eastAsia" w:ascii="仿宋_GB2312" w:hAnsi="仿宋" w:eastAsia="仿宋_GB2312" w:cs="仿宋_GB2312"/>
          <w:sz w:val="32"/>
          <w:szCs w:val="32"/>
        </w:rPr>
        <w:t>积极推进社区管理模式由垂直型权力运作向政府、社区组织、非营利组织、社区成员单位及社区居民之间协商合作的横向网络型模式转变；加快公共服务向社区延伸，构建社区综合服务管理平台；发挥业主委员会、物业管理机构、驻区单位积极作用，创新现代社区管理体制；加强社区社会工作专业人才和志愿者队伍建设。</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3. </w:t>
      </w:r>
      <w:r>
        <w:rPr>
          <w:rFonts w:hint="eastAsia" w:ascii="仿宋_GB2312" w:hAnsi="仿宋" w:eastAsia="仿宋_GB2312" w:cs="仿宋_GB2312"/>
          <w:b/>
          <w:bCs/>
          <w:sz w:val="32"/>
          <w:szCs w:val="32"/>
        </w:rPr>
        <w:t>创新城市网格化管理。</w:t>
      </w:r>
      <w:r>
        <w:rPr>
          <w:rFonts w:hint="eastAsia" w:ascii="仿宋_GB2312" w:hAnsi="仿宋" w:eastAsia="仿宋_GB2312" w:cs="仿宋_GB2312"/>
          <w:sz w:val="32"/>
          <w:szCs w:val="32"/>
        </w:rPr>
        <w:t>按照“条块结合、分级管理”和“权随事转、费随事转、人随事转”的原则，划分街面管理责任，整合街面管理力量，建设以路为线、纵横成网、布局合理、覆盖城郊的城镇管理网络。</w:t>
      </w:r>
    </w:p>
    <w:p>
      <w:pPr>
        <w:pStyle w:val="2"/>
        <w:spacing w:line="600" w:lineRule="exact"/>
        <w:ind w:firstLine="643" w:firstLineChars="200"/>
        <w:outlineLvl w:val="1"/>
        <w:rPr>
          <w:rFonts w:ascii="楷体_GB2312" w:hAnsi="楷体" w:eastAsia="楷体_GB2312"/>
          <w:sz w:val="32"/>
          <w:szCs w:val="32"/>
        </w:rPr>
      </w:pPr>
      <w:bookmarkStart w:id="53" w:name="_Toc24146"/>
      <w:r>
        <w:rPr>
          <w:rFonts w:hint="eastAsia" w:ascii="楷体_GB2312" w:hAnsi="楷体" w:eastAsia="楷体_GB2312" w:cs="楷体_GB2312"/>
          <w:b/>
          <w:bCs/>
          <w:sz w:val="32"/>
          <w:szCs w:val="32"/>
        </w:rPr>
        <w:t>（三）完善城镇治理结构</w:t>
      </w:r>
      <w:bookmarkEnd w:id="53"/>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1. </w:t>
      </w:r>
      <w:r>
        <w:rPr>
          <w:rFonts w:hint="eastAsia" w:ascii="仿宋_GB2312" w:hAnsi="仿宋" w:eastAsia="仿宋_GB2312" w:cs="仿宋_GB2312"/>
          <w:b/>
          <w:bCs/>
          <w:sz w:val="32"/>
          <w:szCs w:val="32"/>
        </w:rPr>
        <w:t>积极推进依法治理。</w:t>
      </w:r>
      <w:r>
        <w:rPr>
          <w:rFonts w:hint="eastAsia" w:ascii="仿宋_GB2312" w:hAnsi="仿宋" w:eastAsia="仿宋_GB2312" w:cs="仿宋_GB2312"/>
          <w:sz w:val="32"/>
          <w:szCs w:val="32"/>
        </w:rPr>
        <w:t>树立民主、法治、平等、自由等社会主义核心价值观，将城镇管理及城市生活各主体的行为逐渐纳入法律法制轨道，制定出台资阳区城镇综合管理条例。</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2. </w:t>
      </w:r>
      <w:r>
        <w:rPr>
          <w:rFonts w:hint="eastAsia" w:ascii="仿宋_GB2312" w:hAnsi="仿宋" w:eastAsia="仿宋_GB2312" w:cs="仿宋_GB2312"/>
          <w:b/>
          <w:bCs/>
          <w:sz w:val="32"/>
          <w:szCs w:val="32"/>
        </w:rPr>
        <w:t>改革政府管理。</w:t>
      </w:r>
      <w:r>
        <w:rPr>
          <w:rFonts w:hint="eastAsia" w:ascii="仿宋_GB2312" w:hAnsi="仿宋" w:eastAsia="仿宋_GB2312" w:cs="仿宋_GB2312"/>
          <w:sz w:val="32"/>
          <w:szCs w:val="32"/>
        </w:rPr>
        <w:t>推动城市政府向服务型转变、治理方式向精细化转型、配套资源向街道社区下沉。加强和创新社区治理，引导社会组织、社会工作者和志愿者等参与，大幅提高城市社区综合服务设施覆盖率。树立“社会本位”和“公共利益导向”的行政观念。进一步理顺政府与企业、政府与社会、政府与市场之间的关系，有效发挥城镇政府部门的公共服务职能。</w:t>
      </w:r>
    </w:p>
    <w:p>
      <w:pPr>
        <w:spacing w:line="600" w:lineRule="exact"/>
        <w:ind w:firstLine="643" w:firstLineChars="200"/>
        <w:rPr>
          <w:rFonts w:ascii="仿宋_GB2312" w:hAnsi="仿宋" w:eastAsia="仿宋_GB2312"/>
          <w:sz w:val="32"/>
          <w:szCs w:val="32"/>
        </w:rPr>
      </w:pPr>
      <w:r>
        <w:rPr>
          <w:rFonts w:ascii="仿宋_GB2312" w:hAnsi="仿宋" w:eastAsia="仿宋_GB2312" w:cs="仿宋_GB2312"/>
          <w:b/>
          <w:bCs/>
          <w:sz w:val="32"/>
          <w:szCs w:val="32"/>
        </w:rPr>
        <w:t xml:space="preserve">3. </w:t>
      </w:r>
      <w:r>
        <w:rPr>
          <w:rFonts w:hint="eastAsia" w:ascii="仿宋_GB2312" w:hAnsi="仿宋" w:eastAsia="仿宋_GB2312" w:cs="仿宋_GB2312"/>
          <w:b/>
          <w:bCs/>
          <w:sz w:val="32"/>
          <w:szCs w:val="32"/>
        </w:rPr>
        <w:t>建立建全社会组织，引导公民参与城镇管理。</w:t>
      </w:r>
      <w:r>
        <w:rPr>
          <w:rFonts w:hint="eastAsia" w:ascii="仿宋_GB2312" w:hAnsi="仿宋" w:eastAsia="仿宋_GB2312" w:cs="仿宋_GB2312"/>
          <w:sz w:val="32"/>
          <w:szCs w:val="32"/>
        </w:rPr>
        <w:t>重点营造有利于社会组织发育和发展的环境，鼓励社会组织积极参与城镇公共事务、承担城镇管理的部分职能。提高公民参与公共事务管理的意识、能力，实行政务公开、信息公开，保障公民的知情权、参与权。</w:t>
      </w:r>
    </w:p>
    <w:p>
      <w:pPr>
        <w:pStyle w:val="24"/>
        <w:spacing w:beforeLines="0" w:afterLines="0" w:line="600" w:lineRule="exact"/>
        <w:ind w:firstLine="31680"/>
        <w:rPr>
          <w:rFonts w:ascii="黑体" w:hAnsi="黑体" w:eastAsia="黑体" w:cs="Times New Roman"/>
          <w:b w:val="0"/>
          <w:bCs w:val="0"/>
          <w:color w:val="auto"/>
        </w:rPr>
      </w:pPr>
      <w:bookmarkStart w:id="54" w:name="_Toc21700"/>
      <w:bookmarkStart w:id="55" w:name="_Toc5878"/>
      <w:r>
        <w:rPr>
          <w:rFonts w:hint="eastAsia" w:ascii="黑体" w:hAnsi="黑体" w:eastAsia="黑体" w:cs="黑体"/>
          <w:b w:val="0"/>
          <w:bCs w:val="0"/>
          <w:color w:val="auto"/>
        </w:rPr>
        <w:t>九、</w:t>
      </w:r>
      <w:bookmarkEnd w:id="54"/>
      <w:bookmarkStart w:id="56" w:name="_Toc26074"/>
      <w:r>
        <w:rPr>
          <w:rFonts w:hint="eastAsia" w:ascii="黑体" w:hAnsi="黑体" w:eastAsia="黑体" w:cs="黑体"/>
          <w:b w:val="0"/>
          <w:bCs w:val="0"/>
          <w:color w:val="auto"/>
        </w:rPr>
        <w:t>完善政策保障体系，稳步推进新型城镇化进程</w:t>
      </w:r>
      <w:bookmarkEnd w:id="55"/>
    </w:p>
    <w:bookmarkEnd w:id="56"/>
    <w:p>
      <w:pPr>
        <w:pStyle w:val="23"/>
        <w:spacing w:line="600" w:lineRule="exact"/>
        <w:ind w:firstLine="31680"/>
        <w:rPr>
          <w:rFonts w:ascii="楷体_GB2312" w:hAnsi="楷体" w:eastAsia="楷体_GB2312" w:cs="Times New Roman"/>
          <w:color w:val="auto"/>
        </w:rPr>
      </w:pPr>
      <w:bookmarkStart w:id="57" w:name="_Toc12963"/>
      <w:r>
        <w:rPr>
          <w:rFonts w:hint="eastAsia" w:ascii="楷体_GB2312" w:hAnsi="楷体" w:eastAsia="楷体_GB2312" w:cs="楷体_GB2312"/>
          <w:color w:val="auto"/>
        </w:rPr>
        <w:t>（一）稳定推进农业转移人口市民化</w:t>
      </w:r>
      <w:bookmarkEnd w:id="57"/>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改革户籍管理制度。</w:t>
      </w:r>
      <w:r>
        <w:rPr>
          <w:rFonts w:hint="eastAsia" w:ascii="仿宋_GB2312" w:eastAsia="仿宋_GB2312" w:cs="仿宋_GB2312"/>
          <w:color w:val="auto"/>
        </w:rPr>
        <w:t>全区城镇原则上全面放开落户限制。积极推动普通高等学校、职业技术院校、中专及技工学校毕业生，取得初级以上专业技术资格人员等常住人口落户城镇。采取有力措施吸纳进城务工经商、购房人员及其家属落户城镇。</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加强城镇流动人口的服务和管理。</w:t>
      </w:r>
      <w:r>
        <w:rPr>
          <w:rFonts w:hint="eastAsia" w:ascii="仿宋_GB2312" w:eastAsia="仿宋_GB2312" w:cs="仿宋_GB2312"/>
          <w:color w:val="auto"/>
        </w:rPr>
        <w:t>建立居住证制度，健全流动人口基本公共服务提供机制，加快构建集居住登记、房屋租赁、劳动就业、社会保障、计划生育、税费收缴、教育文化、社会信用等服务管理功能为一体的人口综合信息管理系统，到</w:t>
      </w:r>
      <w:r>
        <w:rPr>
          <w:rFonts w:ascii="仿宋_GB2312" w:eastAsia="仿宋_GB2312" w:cs="仿宋_GB2312"/>
          <w:color w:val="auto"/>
        </w:rPr>
        <w:t>2025</w:t>
      </w:r>
      <w:r>
        <w:rPr>
          <w:rFonts w:hint="eastAsia" w:ascii="仿宋_GB2312" w:eastAsia="仿宋_GB2312" w:cs="仿宋_GB2312"/>
          <w:color w:val="auto"/>
        </w:rPr>
        <w:t>年全区实行以居民身份证为唯一标识，逐步实现跨部门、跨地区信息资源整合和共享。</w:t>
      </w:r>
    </w:p>
    <w:p>
      <w:pPr>
        <w:pStyle w:val="25"/>
        <w:spacing w:line="600" w:lineRule="exact"/>
        <w:ind w:firstLine="31680"/>
        <w:rPr>
          <w:rFonts w:ascii="仿宋_GB2312" w:eastAsia="仿宋_GB2312" w:cs="Times New Roman"/>
          <w:color w:val="auto"/>
        </w:rPr>
      </w:pPr>
      <w:bookmarkStart w:id="58" w:name="_Toc27685"/>
      <w:bookmarkStart w:id="59" w:name="_Toc19527"/>
      <w:bookmarkStart w:id="60" w:name="_Toc13979"/>
      <w:r>
        <w:rPr>
          <w:rFonts w:ascii="仿宋_GB2312" w:eastAsia="仿宋_GB2312" w:cs="仿宋_GB2312"/>
          <w:b/>
          <w:bCs/>
          <w:color w:val="auto"/>
        </w:rPr>
        <w:t xml:space="preserve">3. </w:t>
      </w:r>
      <w:r>
        <w:rPr>
          <w:rFonts w:hint="eastAsia" w:ascii="仿宋_GB2312" w:eastAsia="仿宋_GB2312" w:cs="仿宋_GB2312"/>
          <w:b/>
          <w:bCs/>
          <w:color w:val="auto"/>
        </w:rPr>
        <w:t>推进城镇基本公共服务常住人口全覆盖。</w:t>
      </w:r>
      <w:r>
        <w:rPr>
          <w:rFonts w:hint="eastAsia" w:ascii="仿宋_GB2312" w:eastAsia="仿宋_GB2312" w:cs="仿宋_GB2312"/>
          <w:color w:val="auto"/>
        </w:rPr>
        <w:t>进一步调整户口迁移政策，重点解决一批已进城有合法稳定住所或有合法稳定就业的农业转移人口落户问题，保障新落户居民与原市民同等享有城镇基本公共服务</w:t>
      </w:r>
      <w:r>
        <w:rPr>
          <w:rFonts w:ascii="仿宋_GB2312" w:eastAsia="仿宋_GB2312" w:cs="仿宋_GB2312"/>
          <w:color w:val="auto"/>
        </w:rPr>
        <w:t>;</w:t>
      </w:r>
      <w:r>
        <w:rPr>
          <w:rFonts w:hint="eastAsia" w:ascii="仿宋_GB2312" w:eastAsia="仿宋_GB2312" w:cs="仿宋_GB2312"/>
          <w:color w:val="auto"/>
        </w:rPr>
        <w:t>建立与居住证相挂钩的城镇基本公共服务保障机制，并根据居住年限等条件不断扩大服务范围，让暂时没有落户的转移人口能够逐步享受当地基本公共服务。保障进城务工人员的随迁子女以流入地公办学校为主接受义务教育，以公办幼儿园和普惠性民办幼儿园为主接受学前教育。实施义务教育“两免一补”和生均公用经费基准定额资金随学生流动可携带政策，统筹人口流入地与流出地教师编制。允许在农村参加的养老保险和医疗保险规范接入城镇社保体系，加快建立基本医疗保险异地就医医疗费用结算制度。</w:t>
      </w:r>
      <w:bookmarkEnd w:id="58"/>
      <w:bookmarkEnd w:id="59"/>
      <w:bookmarkEnd w:id="60"/>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4. </w:t>
      </w:r>
      <w:r>
        <w:rPr>
          <w:rFonts w:hint="eastAsia" w:ascii="仿宋_GB2312" w:eastAsia="仿宋_GB2312" w:cs="仿宋_GB2312"/>
          <w:b/>
          <w:bCs/>
          <w:color w:val="auto"/>
        </w:rPr>
        <w:t>加快建立农业转移人口市民化激励机制。</w:t>
      </w:r>
      <w:r>
        <w:rPr>
          <w:rFonts w:hint="eastAsia" w:ascii="仿宋_GB2312" w:eastAsia="仿宋_GB2312" w:cs="仿宋_GB2312"/>
          <w:color w:val="auto"/>
        </w:rPr>
        <w:t>切实维护进城落户农民在农村的合法权益。实施财政转移支付同农业转移人口市民化挂钩政策，实施城镇建设用地增加规模与吸纳农业转移人口落户数量挂钩政策。</w:t>
      </w:r>
    </w:p>
    <w:p>
      <w:pPr>
        <w:pStyle w:val="23"/>
        <w:spacing w:line="600" w:lineRule="exact"/>
        <w:ind w:firstLine="31680"/>
        <w:rPr>
          <w:rFonts w:ascii="楷体_GB2312" w:hAnsi="黑体" w:eastAsia="楷体_GB2312" w:cs="Times New Roman"/>
          <w:color w:val="auto"/>
        </w:rPr>
      </w:pPr>
      <w:bookmarkStart w:id="61" w:name="_Toc16382"/>
      <w:r>
        <w:rPr>
          <w:rFonts w:hint="eastAsia" w:ascii="楷体_GB2312" w:hAnsi="黑体" w:eastAsia="楷体_GB2312" w:cs="楷体_GB2312"/>
          <w:color w:val="auto"/>
        </w:rPr>
        <w:t>（二）创新土地管理制度</w:t>
      </w:r>
      <w:bookmarkEnd w:id="61"/>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规范推进城乡建设用地增减挂钩。</w:t>
      </w:r>
      <w:r>
        <w:rPr>
          <w:rFonts w:hint="eastAsia" w:ascii="仿宋_GB2312" w:eastAsia="仿宋_GB2312" w:cs="仿宋_GB2312"/>
          <w:color w:val="auto"/>
        </w:rPr>
        <w:t>总结完善并推广有关经验模式，全面实行城镇建设用地增加与农村建设用地减少相挂钩的政策。高标准、高质量推进村庄整治，在规范管理、规范操作、规范运行的基础上，扩大城乡建设用地增减挂钩规模</w:t>
      </w:r>
      <w:r>
        <w:rPr>
          <w:rFonts w:hint="eastAsia" w:ascii="仿宋_GB2312" w:eastAsia="仿宋_GB2312" w:cs="仿宋_GB2312"/>
          <w:color w:val="auto"/>
          <w:spacing w:val="-6"/>
        </w:rPr>
        <w:t>和范围。运用现代信息技术手段加强土地利用变更情况监测监管。</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建立城镇低效用地再开发激励机制。</w:t>
      </w:r>
      <w:r>
        <w:rPr>
          <w:rFonts w:hint="eastAsia" w:ascii="仿宋_GB2312" w:eastAsia="仿宋_GB2312" w:cs="仿宋_GB2312"/>
          <w:color w:val="auto"/>
        </w:rPr>
        <w:t>允许存量土地使用权人在不违反法律法规、符合相关规划的前提下，按照有关规定经批准后对土地进行再开发。完善城镇存量土地再开发过程中的供应方式，鼓励原土地使用权人自行改造，涉及原划拨土地使用权转让需补办出让手续的，经依法批准，可采取规定方式办理并按市场价缴纳土地出让价款。在国家、改造者、土地权利人之间合理分配“三旧”（旧城镇、旧厂房、旧村庄）改造的土地收益。</w:t>
      </w:r>
    </w:p>
    <w:p>
      <w:pPr>
        <w:pStyle w:val="25"/>
        <w:spacing w:line="600" w:lineRule="exact"/>
        <w:ind w:firstLine="31680"/>
        <w:rPr>
          <w:rFonts w:ascii="仿宋_GB2312" w:eastAsia="仿宋_GB2312" w:cs="Times New Roman"/>
          <w:color w:val="auto"/>
        </w:rPr>
      </w:pPr>
      <w:r>
        <w:rPr>
          <w:rFonts w:ascii="仿宋_GB2312" w:eastAsia="仿宋_GB2312" w:cs="仿宋_GB2312"/>
          <w:b/>
          <w:bCs/>
          <w:color w:val="auto"/>
        </w:rPr>
        <w:t xml:space="preserve">3. </w:t>
      </w:r>
      <w:r>
        <w:rPr>
          <w:rFonts w:hint="eastAsia" w:ascii="仿宋_GB2312" w:eastAsia="仿宋_GB2312" w:cs="仿宋_GB2312"/>
          <w:b/>
          <w:bCs/>
          <w:color w:val="auto"/>
        </w:rPr>
        <w:t>因地制宜推进低丘缓坡地开发。</w:t>
      </w:r>
      <w:r>
        <w:rPr>
          <w:rFonts w:hint="eastAsia" w:ascii="仿宋_GB2312" w:eastAsia="仿宋_GB2312" w:cs="仿宋_GB2312"/>
          <w:color w:val="auto"/>
        </w:rPr>
        <w:t>在坚持最严格的耕地保护制度、确保生态安全、切实做好地质灾害防治的前提下，在资源环境承载力适宜地区开展低丘缓坡地开发试点。通过创新规划计划方式、开展整体整治、土地分批供应等政策措施，合理确定低丘缓坡地开发用途、规模、布局和项目用地准入门槛。</w:t>
      </w:r>
    </w:p>
    <w:p>
      <w:pPr>
        <w:pStyle w:val="25"/>
        <w:spacing w:line="600" w:lineRule="exact"/>
        <w:ind w:firstLine="31680"/>
        <w:rPr>
          <w:rFonts w:ascii="仿宋_GB2312" w:eastAsia="仿宋_GB2312" w:cs="Times New Roman"/>
          <w:color w:val="auto"/>
          <w:spacing w:val="-6"/>
        </w:rPr>
      </w:pPr>
      <w:r>
        <w:rPr>
          <w:rFonts w:ascii="仿宋_GB2312" w:eastAsia="仿宋_GB2312" w:cs="仿宋_GB2312"/>
          <w:b/>
          <w:bCs/>
          <w:color w:val="auto"/>
        </w:rPr>
        <w:t xml:space="preserve">4. </w:t>
      </w:r>
      <w:r>
        <w:rPr>
          <w:rFonts w:hint="eastAsia" w:ascii="仿宋_GB2312" w:eastAsia="仿宋_GB2312" w:cs="仿宋_GB2312"/>
          <w:b/>
          <w:bCs/>
          <w:color w:val="auto"/>
        </w:rPr>
        <w:t>完善土地经营权和宅基地使用权流转机制。</w:t>
      </w:r>
      <w:r>
        <w:rPr>
          <w:rFonts w:hint="eastAsia" w:ascii="仿宋_GB2312" w:eastAsia="仿宋_GB2312" w:cs="仿宋_GB2312"/>
          <w:color w:val="auto"/>
        </w:rPr>
        <w:t>加快推进农村土地确权登记颁证工作，鼓励地方建立健全农村产权流转市场体系，探索农户对土地承包权、宅基地使用权、集体收益分配权的自愿有偿退出机制，支持引导其依法自愿有偿转让上述权益，提高资源利用效率，防止闲置和浪费。深入推进农村土地征收、集体经营性建设用地入市、宅基地制度改革试点，稳</w:t>
      </w:r>
      <w:r>
        <w:rPr>
          <w:rFonts w:hint="eastAsia" w:ascii="仿宋_GB2312" w:eastAsia="仿宋_GB2312" w:cs="仿宋_GB2312"/>
          <w:color w:val="auto"/>
          <w:spacing w:val="-6"/>
        </w:rPr>
        <w:t>步开展农村承包土地的经营权和农民住房财产权抵押贷款试点。</w:t>
      </w:r>
    </w:p>
    <w:p>
      <w:pPr>
        <w:pStyle w:val="24"/>
        <w:spacing w:beforeLines="0" w:afterLines="0" w:line="600" w:lineRule="exact"/>
        <w:ind w:firstLine="31680"/>
        <w:rPr>
          <w:rFonts w:ascii="黑体" w:hAnsi="黑体" w:eastAsia="黑体" w:cs="Times New Roman"/>
          <w:b w:val="0"/>
          <w:bCs w:val="0"/>
          <w:color w:val="auto"/>
        </w:rPr>
      </w:pPr>
      <w:bookmarkStart w:id="62" w:name="_Toc9020"/>
      <w:r>
        <w:rPr>
          <w:rFonts w:hint="eastAsia" w:ascii="黑体" w:hAnsi="黑体" w:eastAsia="黑体" w:cs="黑体"/>
          <w:b w:val="0"/>
          <w:bCs w:val="0"/>
          <w:color w:val="auto"/>
        </w:rPr>
        <w:t>十、“十四五”新型城镇化发展项目规划</w:t>
      </w:r>
      <w:bookmarkEnd w:id="62"/>
    </w:p>
    <w:p>
      <w:pPr>
        <w:pStyle w:val="23"/>
        <w:spacing w:line="600" w:lineRule="exact"/>
        <w:ind w:firstLine="31680"/>
        <w:rPr>
          <w:rFonts w:ascii="楷体_GB2312" w:hAnsi="楷体" w:eastAsia="楷体_GB2312" w:cs="Times New Roman"/>
          <w:color w:val="auto"/>
        </w:rPr>
      </w:pPr>
      <w:bookmarkStart w:id="63" w:name="_Toc4676"/>
      <w:r>
        <w:rPr>
          <w:rFonts w:hint="eastAsia" w:ascii="楷体_GB2312" w:hAnsi="楷体" w:eastAsia="楷体_GB2312" w:cs="楷体_GB2312"/>
          <w:color w:val="auto"/>
        </w:rPr>
        <w:t>（一）项目建设库</w:t>
      </w:r>
      <w:bookmarkEnd w:id="63"/>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“十四五”期间，从基础设施建设、“六个一”项目、环境治理项目、棚户区改造等四个方面安排建设项目</w:t>
      </w:r>
      <w:r>
        <w:rPr>
          <w:rFonts w:ascii="仿宋_GB2312" w:eastAsia="仿宋_GB2312" w:cs="仿宋_GB2312"/>
          <w:color w:val="auto"/>
        </w:rPr>
        <w:t>96</w:t>
      </w:r>
      <w:r>
        <w:rPr>
          <w:rFonts w:hint="eastAsia" w:ascii="仿宋_GB2312" w:eastAsia="仿宋_GB2312" w:cs="仿宋_GB2312"/>
          <w:color w:val="auto"/>
        </w:rPr>
        <w:t>个，项目投资为</w:t>
      </w:r>
      <w:r>
        <w:rPr>
          <w:rFonts w:ascii="仿宋_GB2312" w:eastAsia="仿宋_GB2312" w:cs="仿宋_GB2312"/>
          <w:color w:val="auto"/>
        </w:rPr>
        <w:t>119.58</w:t>
      </w:r>
      <w:r>
        <w:rPr>
          <w:rFonts w:hint="eastAsia" w:ascii="仿宋_GB2312" w:eastAsia="仿宋_GB2312" w:cs="仿宋_GB2312"/>
          <w:color w:val="auto"/>
        </w:rPr>
        <w:t>亿元。项目建设全部在“十四五”期间内完成。项目分布在资阳区中心城区及各乡镇。具体项目分布见“资阳区十四五新型城镇化项目库”。</w:t>
      </w:r>
    </w:p>
    <w:p>
      <w:pPr>
        <w:pStyle w:val="23"/>
        <w:spacing w:line="600" w:lineRule="exact"/>
        <w:ind w:firstLine="31680"/>
        <w:rPr>
          <w:rFonts w:ascii="楷体_GB2312" w:hAnsi="楷体" w:eastAsia="楷体_GB2312" w:cs="Times New Roman"/>
          <w:color w:val="auto"/>
        </w:rPr>
      </w:pPr>
      <w:bookmarkStart w:id="64" w:name="_Toc2771"/>
      <w:r>
        <w:rPr>
          <w:rFonts w:hint="eastAsia" w:ascii="楷体_GB2312" w:hAnsi="楷体" w:eastAsia="楷体_GB2312" w:cs="楷体_GB2312"/>
          <w:color w:val="auto"/>
        </w:rPr>
        <w:t>（二）项目建设投资</w:t>
      </w:r>
      <w:bookmarkEnd w:id="64"/>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项目概算投资</w:t>
      </w:r>
      <w:r>
        <w:rPr>
          <w:rFonts w:ascii="仿宋_GB2312" w:eastAsia="仿宋_GB2312" w:cs="仿宋_GB2312"/>
          <w:color w:val="auto"/>
        </w:rPr>
        <w:t>119.58</w:t>
      </w:r>
      <w:r>
        <w:rPr>
          <w:rFonts w:hint="eastAsia" w:ascii="仿宋_GB2312" w:eastAsia="仿宋_GB2312" w:cs="仿宋_GB2312"/>
          <w:color w:val="auto"/>
        </w:rPr>
        <w:t>亿元。</w:t>
      </w:r>
    </w:p>
    <w:p>
      <w:pPr>
        <w:pStyle w:val="23"/>
        <w:spacing w:line="600" w:lineRule="exact"/>
        <w:ind w:firstLine="31680"/>
        <w:rPr>
          <w:rFonts w:ascii="楷体_GB2312" w:hAnsi="楷体" w:eastAsia="楷体_GB2312" w:cs="Times New Roman"/>
          <w:color w:val="auto"/>
        </w:rPr>
      </w:pPr>
      <w:bookmarkStart w:id="65" w:name="_Toc24675"/>
      <w:r>
        <w:rPr>
          <w:rFonts w:hint="eastAsia" w:ascii="楷体_GB2312" w:hAnsi="楷体" w:eastAsia="楷体_GB2312" w:cs="楷体_GB2312"/>
          <w:color w:val="auto"/>
        </w:rPr>
        <w:t>（三）项目融资</w:t>
      </w:r>
      <w:bookmarkEnd w:id="65"/>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项目建设资金来源渠道：</w:t>
      </w:r>
    </w:p>
    <w:p>
      <w:pPr>
        <w:pStyle w:val="25"/>
        <w:spacing w:line="600" w:lineRule="exact"/>
        <w:ind w:firstLine="31680"/>
        <w:rPr>
          <w:rFonts w:ascii="仿宋_GB2312" w:eastAsia="仿宋_GB2312" w:cs="Times New Roman"/>
          <w:b/>
          <w:bCs/>
          <w:color w:val="auto"/>
        </w:rPr>
      </w:pPr>
      <w:r>
        <w:rPr>
          <w:rFonts w:ascii="仿宋_GB2312" w:eastAsia="仿宋_GB2312" w:cs="仿宋_GB2312"/>
          <w:b/>
          <w:bCs/>
          <w:color w:val="auto"/>
        </w:rPr>
        <w:t xml:space="preserve">1. </w:t>
      </w:r>
      <w:r>
        <w:rPr>
          <w:rFonts w:hint="eastAsia" w:ascii="仿宋_GB2312" w:eastAsia="仿宋_GB2312" w:cs="仿宋_GB2312"/>
          <w:b/>
          <w:bCs/>
          <w:color w:val="auto"/>
        </w:rPr>
        <w:t>立项争资</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充分掌握和利用国家、省、市有关新型城镇化的政策，积极申报项目，争取国家、省、市级的财政资金投入。</w:t>
      </w:r>
    </w:p>
    <w:p>
      <w:pPr>
        <w:pStyle w:val="25"/>
        <w:spacing w:line="600" w:lineRule="exact"/>
        <w:ind w:firstLine="31680"/>
        <w:rPr>
          <w:rFonts w:ascii="仿宋_GB2312" w:eastAsia="仿宋_GB2312" w:cs="Times New Roman"/>
          <w:b/>
          <w:bCs/>
          <w:color w:val="auto"/>
        </w:rPr>
      </w:pPr>
      <w:r>
        <w:rPr>
          <w:rFonts w:ascii="仿宋_GB2312" w:eastAsia="仿宋_GB2312" w:cs="仿宋_GB2312"/>
          <w:b/>
          <w:bCs/>
          <w:color w:val="auto"/>
        </w:rPr>
        <w:t xml:space="preserve">2. </w:t>
      </w:r>
      <w:r>
        <w:rPr>
          <w:rFonts w:hint="eastAsia" w:ascii="仿宋_GB2312" w:eastAsia="仿宋_GB2312" w:cs="仿宋_GB2312"/>
          <w:b/>
          <w:bCs/>
          <w:color w:val="auto"/>
        </w:rPr>
        <w:t>充分发挥融资平台的作用</w:t>
      </w:r>
    </w:p>
    <w:p>
      <w:pPr>
        <w:pStyle w:val="25"/>
        <w:spacing w:line="600" w:lineRule="exact"/>
        <w:ind w:firstLine="31680"/>
        <w:rPr>
          <w:rFonts w:ascii="仿宋_GB2312" w:eastAsia="仿宋_GB2312" w:cs="Times New Roman"/>
          <w:color w:val="auto"/>
        </w:rPr>
      </w:pPr>
      <w:r>
        <w:rPr>
          <w:rFonts w:hint="eastAsia" w:ascii="仿宋_GB2312" w:eastAsia="仿宋_GB2312" w:cs="仿宋_GB2312"/>
          <w:color w:val="auto"/>
        </w:rPr>
        <w:t>充分研究国家、省、市关于融资平台有关政策，积极发挥融资平台的引导带动作用。</w:t>
      </w:r>
    </w:p>
    <w:p>
      <w:pPr>
        <w:pStyle w:val="25"/>
        <w:ind w:firstLine="31680"/>
        <w:rPr>
          <w:rFonts w:cs="Times New Roman"/>
          <w:color w:val="auto"/>
        </w:rPr>
      </w:pPr>
    </w:p>
    <w:p>
      <w:pPr>
        <w:pStyle w:val="25"/>
        <w:ind w:firstLine="31680"/>
        <w:rPr>
          <w:rFonts w:cs="Times New Roman"/>
          <w:color w:val="auto"/>
        </w:rPr>
      </w:pPr>
      <w:r>
        <w:rPr>
          <w:rFonts w:hint="eastAsia" w:ascii="仿宋_GB2312" w:eastAsia="仿宋_GB2312" w:cs="仿宋_GB2312"/>
          <w:color w:val="auto"/>
        </w:rPr>
        <w:t>附件：</w:t>
      </w:r>
      <w:r>
        <w:rPr>
          <w:rFonts w:hint="eastAsia" w:ascii="仿宋_GB2312" w:eastAsia="仿宋_GB2312" w:cs="仿宋_GB2312"/>
        </w:rPr>
        <w:t>资阳区“十四五”新型城镇化发展规划项目表</w:t>
      </w:r>
    </w:p>
    <w:p>
      <w:pPr>
        <w:ind w:firstLine="640" w:firstLineChars="200"/>
        <w:jc w:val="left"/>
        <w:rPr>
          <w:rFonts w:ascii="仿宋" w:hAnsi="仿宋" w:eastAsia="仿宋"/>
          <w:sz w:val="32"/>
          <w:szCs w:val="32"/>
        </w:rPr>
      </w:pPr>
    </w:p>
    <w:p>
      <w:pPr>
        <w:pStyle w:val="2"/>
        <w:sectPr>
          <w:footerReference r:id="rId3" w:type="default"/>
          <w:pgSz w:w="11906" w:h="16838"/>
          <w:pgMar w:top="1701" w:right="1588" w:bottom="1701" w:left="1588" w:header="851" w:footer="1304" w:gutter="0"/>
          <w:pgNumType w:fmt="numberInDash" w:start="1"/>
          <w:cols w:space="0" w:num="1"/>
          <w:docGrid w:type="lines" w:linePitch="312" w:charSpace="0"/>
        </w:sectPr>
      </w:pPr>
    </w:p>
    <w:p>
      <w:pPr>
        <w:widowControl/>
        <w:spacing w:afterLines="100" w:line="600" w:lineRule="exact"/>
        <w:textAlignment w:val="center"/>
        <w:rPr>
          <w:rFonts w:ascii="黑体" w:hAnsi="黑体" w:eastAsia="黑体"/>
          <w:kern w:val="0"/>
          <w:sz w:val="32"/>
          <w:szCs w:val="32"/>
        </w:rPr>
      </w:pPr>
      <w:r>
        <w:rPr>
          <w:rFonts w:hint="eastAsia" w:ascii="黑体" w:hAnsi="黑体" w:eastAsia="黑体" w:cs="黑体"/>
          <w:kern w:val="0"/>
          <w:sz w:val="32"/>
          <w:szCs w:val="32"/>
        </w:rPr>
        <w:t>附件</w:t>
      </w:r>
    </w:p>
    <w:p>
      <w:pPr>
        <w:spacing w:afterLines="100" w:line="600" w:lineRule="exact"/>
        <w:jc w:val="center"/>
        <w:outlineLvl w:val="0"/>
        <w:rPr>
          <w:sz w:val="44"/>
          <w:szCs w:val="44"/>
        </w:rPr>
      </w:pPr>
      <w:bookmarkStart w:id="66" w:name="_Toc12652"/>
      <w:r>
        <w:rPr>
          <w:rFonts w:hint="eastAsia" w:ascii="方正小标宋简体" w:hAnsi="方正小标宋简体" w:eastAsia="方正小标宋简体" w:cs="方正小标宋简体"/>
          <w:kern w:val="0"/>
          <w:sz w:val="44"/>
          <w:szCs w:val="44"/>
        </w:rPr>
        <w:t>资阳区“十四五”新型城镇化发展规划项目表</w:t>
      </w:r>
      <w:bookmarkEnd w:id="66"/>
    </w:p>
    <w:tbl>
      <w:tblPr>
        <w:tblStyle w:val="12"/>
        <w:tblW w:w="14114" w:type="dxa"/>
        <w:jc w:val="center"/>
        <w:tblLayout w:type="fixed"/>
        <w:tblCellMar>
          <w:top w:w="0" w:type="dxa"/>
          <w:left w:w="108" w:type="dxa"/>
          <w:bottom w:w="0" w:type="dxa"/>
          <w:right w:w="108" w:type="dxa"/>
        </w:tblCellMar>
      </w:tblPr>
      <w:tblGrid>
        <w:gridCol w:w="789"/>
        <w:gridCol w:w="14"/>
        <w:gridCol w:w="3095"/>
        <w:gridCol w:w="6155"/>
        <w:gridCol w:w="1240"/>
        <w:gridCol w:w="1309"/>
        <w:gridCol w:w="1512"/>
      </w:tblGrid>
      <w:tr>
        <w:tblPrEx>
          <w:tblCellMar>
            <w:top w:w="0" w:type="dxa"/>
            <w:left w:w="108" w:type="dxa"/>
            <w:bottom w:w="0" w:type="dxa"/>
            <w:right w:w="108" w:type="dxa"/>
          </w:tblCellMar>
        </w:tblPrEx>
        <w:trPr>
          <w:trHeight w:val="567" w:hRule="atLeast"/>
          <w:tblHeader/>
          <w:jc w:val="center"/>
        </w:trPr>
        <w:tc>
          <w:tcPr>
            <w:tcW w:w="8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rPr>
            </w:pPr>
            <w:r>
              <w:rPr>
                <w:rFonts w:hint="eastAsia" w:ascii="宋体" w:hAnsi="宋体" w:cs="宋体"/>
                <w:b/>
                <w:bCs/>
                <w:kern w:val="0"/>
              </w:rPr>
              <w:t>序号</w:t>
            </w:r>
          </w:p>
        </w:tc>
        <w:tc>
          <w:tcPr>
            <w:tcW w:w="3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rPr>
            </w:pPr>
            <w:r>
              <w:rPr>
                <w:rFonts w:hint="eastAsia" w:ascii="宋体" w:hAnsi="宋体" w:cs="宋体"/>
                <w:b/>
                <w:bCs/>
                <w:kern w:val="0"/>
              </w:rPr>
              <w:t>项目名称</w:t>
            </w:r>
          </w:p>
        </w:tc>
        <w:tc>
          <w:tcPr>
            <w:tcW w:w="6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rPr>
            </w:pPr>
            <w:r>
              <w:rPr>
                <w:rFonts w:hint="eastAsia" w:ascii="宋体" w:hAnsi="宋体" w:cs="宋体"/>
                <w:b/>
                <w:bCs/>
                <w:kern w:val="0"/>
              </w:rPr>
              <w:t>建设内容</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rPr>
            </w:pPr>
            <w:r>
              <w:rPr>
                <w:rFonts w:hint="eastAsia" w:ascii="宋体" w:hAnsi="宋体" w:cs="宋体"/>
                <w:b/>
                <w:bCs/>
                <w:kern w:val="0"/>
              </w:rPr>
              <w:t>项目性质</w:t>
            </w:r>
          </w:p>
        </w:tc>
        <w:tc>
          <w:tcPr>
            <w:tcW w:w="13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rPr>
            </w:pPr>
            <w:r>
              <w:rPr>
                <w:rFonts w:hint="eastAsia" w:ascii="宋体" w:hAnsi="宋体" w:cs="宋体"/>
                <w:b/>
                <w:bCs/>
                <w:kern w:val="0"/>
              </w:rPr>
              <w:t>建设时间</w:t>
            </w:r>
          </w:p>
        </w:tc>
        <w:tc>
          <w:tcPr>
            <w:tcW w:w="151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rPr>
            </w:pPr>
            <w:r>
              <w:rPr>
                <w:rFonts w:hint="eastAsia" w:ascii="宋体" w:hAnsi="宋体" w:cs="宋体"/>
                <w:b/>
                <w:bCs/>
              </w:rPr>
              <w:t>“十四五”</w:t>
            </w:r>
          </w:p>
          <w:p>
            <w:pPr>
              <w:jc w:val="center"/>
              <w:rPr>
                <w:rFonts w:ascii="宋体"/>
                <w:b/>
                <w:bCs/>
              </w:rPr>
            </w:pPr>
            <w:r>
              <w:rPr>
                <w:rFonts w:hint="eastAsia" w:ascii="宋体" w:hAnsi="宋体" w:cs="宋体"/>
                <w:b/>
                <w:bCs/>
              </w:rPr>
              <w:t>总投资</w:t>
            </w:r>
            <w:r>
              <w:rPr>
                <w:rFonts w:hint="eastAsia" w:ascii="宋体" w:hAnsi="宋体" w:cs="宋体"/>
                <w:b/>
                <w:bCs/>
                <w:kern w:val="0"/>
              </w:rPr>
              <w:t>（万元）</w:t>
            </w:r>
          </w:p>
        </w:tc>
      </w:tr>
      <w:tr>
        <w:tblPrEx>
          <w:tblCellMar>
            <w:top w:w="0" w:type="dxa"/>
            <w:left w:w="108" w:type="dxa"/>
            <w:bottom w:w="0" w:type="dxa"/>
            <w:right w:w="108" w:type="dxa"/>
          </w:tblCellMar>
        </w:tblPrEx>
        <w:trPr>
          <w:trHeight w:val="312" w:hRule="atLeast"/>
          <w:tblHeader/>
          <w:jc w:val="center"/>
        </w:trPr>
        <w:tc>
          <w:tcPr>
            <w:tcW w:w="8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p>
        </w:tc>
        <w:tc>
          <w:tcPr>
            <w:tcW w:w="30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61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p>
        </w:tc>
        <w:tc>
          <w:tcPr>
            <w:tcW w:w="13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p>
        </w:tc>
        <w:tc>
          <w:tcPr>
            <w:tcW w:w="1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rPr>
            </w:pPr>
          </w:p>
        </w:tc>
      </w:tr>
      <w:tr>
        <w:tblPrEx>
          <w:tblCellMar>
            <w:top w:w="0" w:type="dxa"/>
            <w:left w:w="108" w:type="dxa"/>
            <w:bottom w:w="0" w:type="dxa"/>
            <w:right w:w="108" w:type="dxa"/>
          </w:tblCellMar>
        </w:tblPrEx>
        <w:trPr>
          <w:trHeight w:val="540" w:hRule="atLeast"/>
          <w:jc w:val="center"/>
        </w:trPr>
        <w:tc>
          <w:tcPr>
            <w:tcW w:w="14114"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黑体" w:eastAsia="黑体"/>
                <w:kern w:val="0"/>
              </w:rPr>
            </w:pPr>
            <w:r>
              <w:rPr>
                <w:rFonts w:hint="eastAsia" w:ascii="黑体" w:hAnsi="黑体" w:eastAsia="黑体" w:cs="黑体"/>
                <w:kern w:val="0"/>
              </w:rPr>
              <w:t>一、基础设施建设</w:t>
            </w:r>
          </w:p>
        </w:tc>
      </w:tr>
      <w:tr>
        <w:tblPrEx>
          <w:tblCellMar>
            <w:top w:w="0" w:type="dxa"/>
            <w:left w:w="108" w:type="dxa"/>
            <w:bottom w:w="0" w:type="dxa"/>
            <w:right w:w="108" w:type="dxa"/>
          </w:tblCellMar>
        </w:tblPrEx>
        <w:trPr>
          <w:trHeight w:val="773"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bookmarkStart w:id="67" w:name="OLE_LINK1" w:colFirst="0" w:colLast="2"/>
            <w:r>
              <w:rPr>
                <w:rFonts w:ascii="宋体" w:hAnsi="宋体" w:cs="宋体"/>
                <w:kern w:val="0"/>
              </w:rPr>
              <w:t>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文昌路二期建设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top"/>
              <w:rPr>
                <w:rFonts w:ascii="宋体"/>
              </w:rPr>
            </w:pPr>
            <w:r>
              <w:rPr>
                <w:rFonts w:hint="eastAsia" w:ascii="宋体" w:hAnsi="宋体" w:cs="宋体"/>
                <w:kern w:val="0"/>
              </w:rPr>
              <w:t>长</w:t>
            </w:r>
            <w:r>
              <w:rPr>
                <w:rFonts w:ascii="宋体" w:hAnsi="宋体" w:cs="宋体"/>
                <w:kern w:val="0"/>
              </w:rPr>
              <w:t>1100</w:t>
            </w:r>
            <w:r>
              <w:rPr>
                <w:rFonts w:hint="eastAsia" w:ascii="宋体" w:hAnsi="宋体" w:cs="宋体"/>
                <w:kern w:val="0"/>
              </w:rPr>
              <w:t>米、宽</w:t>
            </w:r>
            <w:r>
              <w:rPr>
                <w:rFonts w:ascii="宋体" w:hAnsi="宋体" w:cs="宋体"/>
                <w:kern w:val="0"/>
              </w:rPr>
              <w:t>45</w:t>
            </w:r>
            <w:r>
              <w:rPr>
                <w:rFonts w:hint="eastAsia" w:ascii="宋体" w:hAnsi="宋体" w:cs="宋体"/>
                <w:kern w:val="0"/>
              </w:rPr>
              <w:t>米，征地拆迁、沥青路面、人行道和雨污分流、管线、路灯、绿化、交通设施、路牌等配套设施。</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2020-2021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9500</w:t>
            </w:r>
          </w:p>
        </w:tc>
      </w:tr>
      <w:tr>
        <w:tblPrEx>
          <w:tblCellMar>
            <w:top w:w="0" w:type="dxa"/>
            <w:left w:w="108" w:type="dxa"/>
            <w:bottom w:w="0" w:type="dxa"/>
            <w:right w:w="108" w:type="dxa"/>
          </w:tblCellMar>
        </w:tblPrEx>
        <w:trPr>
          <w:trHeight w:val="75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龙洲大桥吊杆更换及其它病害</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rPr>
            </w:pPr>
            <w:r>
              <w:rPr>
                <w:rFonts w:ascii="宋体" w:hAnsi="宋体" w:cs="宋体"/>
                <w:kern w:val="0"/>
              </w:rPr>
              <w:t>68</w:t>
            </w:r>
            <w:r>
              <w:rPr>
                <w:rFonts w:hint="eastAsia" w:ascii="宋体" w:hAnsi="宋体" w:cs="宋体"/>
                <w:kern w:val="0"/>
              </w:rPr>
              <w:t>根吊索更换、吊杆构件表面氧化、钢管护套锈蚀部分除锈处理、上部结构破损露筋处理。</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2020-2021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800</w:t>
            </w:r>
          </w:p>
        </w:tc>
      </w:tr>
      <w:tr>
        <w:tblPrEx>
          <w:tblCellMar>
            <w:top w:w="0" w:type="dxa"/>
            <w:left w:w="108" w:type="dxa"/>
            <w:bottom w:w="0" w:type="dxa"/>
            <w:right w:w="108" w:type="dxa"/>
          </w:tblCellMar>
        </w:tblPrEx>
        <w:trPr>
          <w:trHeight w:val="781"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利源路项目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rPr>
            </w:pPr>
            <w:r>
              <w:rPr>
                <w:rFonts w:hint="eastAsia" w:ascii="宋体" w:hAnsi="宋体" w:cs="宋体"/>
              </w:rPr>
              <w:t>道路全长</w:t>
            </w:r>
            <w:r>
              <w:rPr>
                <w:rFonts w:ascii="宋体" w:hAnsi="宋体" w:cs="宋体"/>
              </w:rPr>
              <w:t>403</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金花湖东路项目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top"/>
              <w:rPr>
                <w:rFonts w:ascii="宋体"/>
              </w:rPr>
            </w:pPr>
            <w:r>
              <w:rPr>
                <w:rFonts w:hint="eastAsia" w:ascii="宋体" w:hAnsi="宋体" w:cs="宋体"/>
                <w:kern w:val="0"/>
              </w:rPr>
              <w:t>全长</w:t>
            </w:r>
            <w:r>
              <w:rPr>
                <w:rFonts w:ascii="宋体" w:hAnsi="宋体" w:cs="宋体"/>
                <w:kern w:val="0"/>
              </w:rPr>
              <w:t>3</w:t>
            </w:r>
            <w:r>
              <w:rPr>
                <w:rFonts w:ascii="宋体" w:cs="宋体"/>
                <w:kern w:val="0"/>
              </w:rPr>
              <w:t>000</w:t>
            </w:r>
            <w:r>
              <w:rPr>
                <w:rFonts w:hint="eastAsia" w:ascii="宋体" w:hAnsi="宋体" w:cs="宋体"/>
                <w:kern w:val="0"/>
              </w:rPr>
              <w:t>米</w:t>
            </w:r>
            <w:r>
              <w:rPr>
                <w:rFonts w:ascii="宋体" w:cs="宋体"/>
                <w:kern w:val="0"/>
              </w:rPr>
              <w:t>,</w:t>
            </w:r>
            <w:r>
              <w:rPr>
                <w:rFonts w:hint="eastAsia" w:ascii="宋体" w:hAnsi="宋体" w:cs="宋体"/>
                <w:kern w:val="0"/>
              </w:rPr>
              <w:t>宽</w:t>
            </w:r>
            <w:r>
              <w:rPr>
                <w:rFonts w:ascii="宋体" w:hAnsi="宋体" w:cs="宋体"/>
                <w:kern w:val="0"/>
              </w:rPr>
              <w:t>35</w:t>
            </w:r>
            <w:r>
              <w:rPr>
                <w:rFonts w:hint="eastAsia" w:ascii="宋体" w:hAnsi="宋体" w:cs="宋体"/>
                <w:kern w:val="0"/>
              </w:rPr>
              <w:t>米，新建道路、沥青路面、人行道、绿化亮化、雨污分流、交通设施、管线、环卫设施、路牌和公交站等综合配套设施。</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40000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长春西路项目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rPr>
            </w:pPr>
            <w:r>
              <w:rPr>
                <w:rFonts w:hint="eastAsia" w:ascii="宋体" w:hAnsi="宋体" w:cs="宋体"/>
                <w:kern w:val="0"/>
              </w:rPr>
              <w:t>长</w:t>
            </w:r>
            <w:r>
              <w:rPr>
                <w:rFonts w:ascii="宋体" w:hAnsi="宋体" w:cs="宋体"/>
                <w:kern w:val="0"/>
              </w:rPr>
              <w:t>1600</w:t>
            </w:r>
            <w:r>
              <w:rPr>
                <w:rFonts w:hint="eastAsia" w:ascii="宋体" w:hAnsi="宋体" w:cs="宋体"/>
                <w:kern w:val="0"/>
              </w:rPr>
              <w:t>米，宽</w:t>
            </w:r>
            <w:r>
              <w:rPr>
                <w:rFonts w:ascii="宋体" w:hAnsi="宋体" w:cs="宋体"/>
                <w:kern w:val="0"/>
              </w:rPr>
              <w:t>27</w:t>
            </w:r>
            <w:r>
              <w:rPr>
                <w:rFonts w:hint="eastAsia" w:ascii="宋体" w:hAnsi="宋体" w:cs="宋体"/>
                <w:kern w:val="0"/>
              </w:rPr>
              <w:t>米，沥青路面、人行道、排水设施、绿化亮化、交通设施、管线、环卫设施、路牌和公交站等综合配套设施。</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幸福渠西路项目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rPr>
            </w:pPr>
            <w:r>
              <w:rPr>
                <w:rFonts w:hint="eastAsia" w:ascii="宋体" w:hAnsi="宋体" w:cs="宋体"/>
                <w:kern w:val="0"/>
              </w:rPr>
              <w:t>道路长</w:t>
            </w:r>
            <w:r>
              <w:rPr>
                <w:rFonts w:ascii="宋体" w:hAnsi="宋体" w:cs="宋体"/>
                <w:kern w:val="0"/>
              </w:rPr>
              <w:t>1240</w:t>
            </w:r>
            <w:r>
              <w:rPr>
                <w:rFonts w:hint="eastAsia" w:ascii="宋体" w:hAnsi="宋体" w:cs="宋体"/>
                <w:kern w:val="0"/>
              </w:rPr>
              <w:t>米、宽</w:t>
            </w:r>
            <w:r>
              <w:rPr>
                <w:rFonts w:ascii="宋体" w:hAnsi="宋体" w:cs="宋体"/>
                <w:kern w:val="0"/>
              </w:rPr>
              <w:t>35</w:t>
            </w:r>
            <w:r>
              <w:rPr>
                <w:rFonts w:hint="eastAsia" w:ascii="宋体" w:hAnsi="宋体" w:cs="宋体"/>
                <w:kern w:val="0"/>
              </w:rPr>
              <w:t>米，沥青路面、人行道、绿化亮化、雨污分流、交通设施、管线、环卫设施、路牌和公交站等综合配套。</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五福路项目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长</w:t>
            </w:r>
            <w:r>
              <w:rPr>
                <w:rFonts w:ascii="宋体" w:hAnsi="宋体" w:cs="宋体"/>
                <w:kern w:val="0"/>
              </w:rPr>
              <w:t>1000</w:t>
            </w:r>
            <w:r>
              <w:rPr>
                <w:rFonts w:hint="eastAsia" w:ascii="宋体" w:hAnsi="宋体" w:cs="宋体"/>
                <w:kern w:val="0"/>
              </w:rPr>
              <w:t>米，宽</w:t>
            </w:r>
            <w:r>
              <w:rPr>
                <w:rFonts w:ascii="宋体" w:hAnsi="宋体" w:cs="宋体"/>
                <w:kern w:val="0"/>
              </w:rPr>
              <w:t>25</w:t>
            </w:r>
            <w:r>
              <w:rPr>
                <w:rFonts w:hint="eastAsia" w:ascii="宋体" w:hAnsi="宋体" w:cs="宋体"/>
                <w:kern w:val="0"/>
              </w:rPr>
              <w:t>米，新建道路、沥青路面、人行道、绿化亮化、雨污分流、交通设施、管线、环卫设施、路牌和公交站等综合配套设施。</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新城建设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以黄家湖新区为依托，以发展食品加工产业、康养产业为重点，打造宜创、宜居、宜游的资阳新城。</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300000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特色小镇建设项目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rPr>
            </w:pPr>
            <w:r>
              <w:rPr>
                <w:rFonts w:hint="eastAsia" w:ascii="宋体" w:hAnsi="宋体" w:cs="宋体"/>
                <w:spacing w:val="-6"/>
                <w:kern w:val="0"/>
              </w:rPr>
              <w:t>资阳区</w:t>
            </w:r>
            <w:r>
              <w:rPr>
                <w:rFonts w:ascii="宋体" w:hAnsi="宋体" w:cs="宋体"/>
                <w:spacing w:val="-6"/>
                <w:kern w:val="0"/>
              </w:rPr>
              <w:t>6</w:t>
            </w:r>
            <w:r>
              <w:rPr>
                <w:rFonts w:hint="eastAsia" w:ascii="宋体" w:hAnsi="宋体" w:cs="宋体"/>
                <w:spacing w:val="-6"/>
                <w:kern w:val="0"/>
              </w:rPr>
              <w:t>个乡镇特色小镇建设：培育产业特色鲜明、基础设施较为完善，能够实现生产、生活、生态“三生融合”，产区、镇区、社区“三区合一”的特色小镇。</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龙井路项目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rPr>
              <w:t>道路全长</w:t>
            </w:r>
            <w:r>
              <w:rPr>
                <w:rFonts w:ascii="宋体" w:hAnsi="宋体" w:cs="宋体"/>
              </w:rPr>
              <w:t>960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2600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柳山路项目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rPr>
              <w:t>道路全长</w:t>
            </w:r>
            <w:r>
              <w:rPr>
                <w:rFonts w:ascii="宋体" w:hAnsi="宋体" w:cs="宋体"/>
              </w:rPr>
              <w:t>440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明清古城项目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规划建设用地约</w:t>
            </w:r>
            <w:r>
              <w:rPr>
                <w:rFonts w:ascii="宋体" w:hAnsi="宋体" w:cs="宋体"/>
                <w:kern w:val="0"/>
              </w:rPr>
              <w:t>286.35</w:t>
            </w:r>
            <w:r>
              <w:rPr>
                <w:rFonts w:hint="eastAsia" w:ascii="宋体" w:hAnsi="宋体" w:cs="宋体"/>
                <w:kern w:val="0"/>
              </w:rPr>
              <w:t>亩，规划内容包括剧场、戏院、街区及码头光影秀、功能性建筑、配套商业、配套设施及停车场。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2017-2022</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207500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横三路项目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新建直径</w:t>
            </w:r>
            <w:r>
              <w:rPr>
                <w:rFonts w:ascii="宋体" w:hAnsi="宋体" w:cs="宋体"/>
                <w:kern w:val="0"/>
              </w:rPr>
              <w:t>800</w:t>
            </w:r>
            <w:r>
              <w:rPr>
                <w:rFonts w:hint="eastAsia" w:ascii="宋体" w:hAnsi="宋体" w:cs="宋体"/>
                <w:kern w:val="0"/>
              </w:rPr>
              <w:t>毫米的雨水管网</w:t>
            </w:r>
            <w:r>
              <w:rPr>
                <w:rFonts w:ascii="宋体" w:hAnsi="宋体" w:cs="宋体"/>
                <w:kern w:val="0"/>
              </w:rPr>
              <w:t>590</w:t>
            </w:r>
            <w:r>
              <w:rPr>
                <w:rFonts w:hint="eastAsia" w:ascii="宋体" w:hAnsi="宋体" w:cs="宋体"/>
                <w:kern w:val="0"/>
              </w:rPr>
              <w:t>米，新建直径</w:t>
            </w:r>
            <w:r>
              <w:rPr>
                <w:rFonts w:ascii="宋体" w:hAnsi="宋体" w:cs="宋体"/>
                <w:kern w:val="0"/>
              </w:rPr>
              <w:t>800</w:t>
            </w:r>
            <w:r>
              <w:rPr>
                <w:rFonts w:hint="eastAsia" w:ascii="宋体" w:hAnsi="宋体" w:cs="宋体"/>
                <w:kern w:val="0"/>
              </w:rPr>
              <w:t>毫米的污水管网</w:t>
            </w:r>
            <w:r>
              <w:rPr>
                <w:rFonts w:ascii="宋体" w:hAnsi="宋体" w:cs="宋体"/>
                <w:kern w:val="0"/>
              </w:rPr>
              <w:t>590</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食品加工园沿益沅公路至长春污水处理厂项目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新建直径</w:t>
            </w:r>
            <w:r>
              <w:rPr>
                <w:rFonts w:ascii="宋体" w:hAnsi="宋体" w:cs="宋体"/>
                <w:kern w:val="0"/>
              </w:rPr>
              <w:t>1000</w:t>
            </w:r>
            <w:r>
              <w:rPr>
                <w:rFonts w:hint="eastAsia" w:ascii="宋体" w:hAnsi="宋体" w:cs="宋体"/>
                <w:kern w:val="0"/>
              </w:rPr>
              <w:t>毫米的污水管网</w:t>
            </w:r>
            <w:r>
              <w:rPr>
                <w:rFonts w:ascii="宋体" w:hAnsi="宋体" w:cs="宋体"/>
                <w:kern w:val="0"/>
              </w:rPr>
              <w:t>2500</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府前北路项目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rPr>
              <w:t>道路全长</w:t>
            </w:r>
            <w:r>
              <w:rPr>
                <w:rFonts w:ascii="宋体" w:hAnsi="宋体" w:cs="宋体"/>
              </w:rPr>
              <w:t>210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410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纵一路项目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新建直径</w:t>
            </w:r>
            <w:r>
              <w:rPr>
                <w:rFonts w:ascii="宋体" w:hAnsi="宋体" w:cs="宋体"/>
                <w:kern w:val="0"/>
              </w:rPr>
              <w:t>800</w:t>
            </w:r>
            <w:r>
              <w:rPr>
                <w:rFonts w:hint="eastAsia" w:ascii="宋体" w:hAnsi="宋体" w:cs="宋体"/>
                <w:kern w:val="0"/>
              </w:rPr>
              <w:t>毫米的雨水管网</w:t>
            </w:r>
            <w:r>
              <w:rPr>
                <w:rFonts w:ascii="宋体" w:hAnsi="宋体" w:cs="宋体"/>
                <w:kern w:val="0"/>
              </w:rPr>
              <w:t>710</w:t>
            </w:r>
            <w:r>
              <w:rPr>
                <w:rFonts w:hint="eastAsia" w:ascii="宋体" w:hAnsi="宋体" w:cs="宋体"/>
                <w:kern w:val="0"/>
              </w:rPr>
              <w:t>米，新建直径</w:t>
            </w:r>
            <w:r>
              <w:rPr>
                <w:rFonts w:ascii="宋体" w:hAnsi="宋体" w:cs="宋体"/>
                <w:kern w:val="0"/>
              </w:rPr>
              <w:t>800</w:t>
            </w:r>
            <w:r>
              <w:rPr>
                <w:rFonts w:hint="eastAsia" w:ascii="宋体" w:hAnsi="宋体" w:cs="宋体"/>
                <w:kern w:val="0"/>
              </w:rPr>
              <w:t>毫米的污水管网</w:t>
            </w:r>
            <w:r>
              <w:rPr>
                <w:rFonts w:ascii="宋体" w:hAnsi="宋体" w:cs="宋体"/>
                <w:kern w:val="0"/>
              </w:rPr>
              <w:t>710</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2023-2024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780</w:t>
            </w:r>
          </w:p>
        </w:tc>
      </w:tr>
      <w:tr>
        <w:tblPrEx>
          <w:tblCellMar>
            <w:top w:w="0" w:type="dxa"/>
            <w:left w:w="108" w:type="dxa"/>
            <w:bottom w:w="0" w:type="dxa"/>
            <w:right w:w="108" w:type="dxa"/>
          </w:tblCellMar>
        </w:tblPrEx>
        <w:trPr>
          <w:trHeight w:val="708"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府前路项目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rPr>
              <w:t>道路全长</w:t>
            </w:r>
            <w:r>
              <w:rPr>
                <w:rFonts w:ascii="宋体" w:hAnsi="宋体" w:cs="宋体"/>
              </w:rPr>
              <w:t>1358</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2023-2024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3932</w:t>
            </w:r>
          </w:p>
        </w:tc>
      </w:tr>
      <w:tr>
        <w:tblPrEx>
          <w:tblCellMar>
            <w:top w:w="0" w:type="dxa"/>
            <w:left w:w="108" w:type="dxa"/>
            <w:bottom w:w="0" w:type="dxa"/>
            <w:right w:w="108" w:type="dxa"/>
          </w:tblCellMar>
        </w:tblPrEx>
        <w:trPr>
          <w:trHeight w:val="926"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华兴路项目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rPr>
              <w:t>道路全长</w:t>
            </w:r>
            <w:r>
              <w:rPr>
                <w:rFonts w:ascii="宋体" w:hAnsi="宋体" w:cs="宋体"/>
              </w:rPr>
              <w:t>640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2023-2023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1740</w:t>
            </w:r>
          </w:p>
        </w:tc>
      </w:tr>
      <w:tr>
        <w:tblPrEx>
          <w:tblCellMar>
            <w:top w:w="0" w:type="dxa"/>
            <w:left w:w="108" w:type="dxa"/>
            <w:bottom w:w="0" w:type="dxa"/>
            <w:right w:w="108" w:type="dxa"/>
          </w:tblCellMar>
        </w:tblPrEx>
        <w:trPr>
          <w:trHeight w:val="645"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永丰北路项目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rPr>
              <w:t>道路全长</w:t>
            </w:r>
            <w:r>
              <w:rPr>
                <w:rFonts w:ascii="宋体" w:hAnsi="宋体" w:cs="宋体"/>
              </w:rPr>
              <w:t>440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2023-2024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980</w:t>
            </w:r>
          </w:p>
        </w:tc>
      </w:tr>
      <w:tr>
        <w:tblPrEx>
          <w:tblCellMar>
            <w:top w:w="0" w:type="dxa"/>
            <w:left w:w="108" w:type="dxa"/>
            <w:bottom w:w="0" w:type="dxa"/>
            <w:right w:w="108" w:type="dxa"/>
          </w:tblCellMar>
        </w:tblPrEx>
        <w:trPr>
          <w:trHeight w:val="625"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青龙东延线项目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rPr>
              <w:t>道路全长</w:t>
            </w:r>
            <w:r>
              <w:rPr>
                <w:rFonts w:ascii="宋体" w:hAnsi="宋体" w:cs="宋体"/>
              </w:rPr>
              <w:t>408</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2023-2024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1220</w:t>
            </w:r>
          </w:p>
        </w:tc>
      </w:tr>
      <w:tr>
        <w:tblPrEx>
          <w:tblCellMar>
            <w:top w:w="0" w:type="dxa"/>
            <w:left w:w="108" w:type="dxa"/>
            <w:bottom w:w="0" w:type="dxa"/>
            <w:right w:w="108" w:type="dxa"/>
          </w:tblCellMar>
        </w:tblPrEx>
        <w:trPr>
          <w:trHeight w:val="605"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横一路项目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kern w:val="0"/>
              </w:rPr>
              <w:t>新建直径</w:t>
            </w:r>
            <w:r>
              <w:rPr>
                <w:rFonts w:ascii="宋体" w:hAnsi="宋体" w:cs="宋体"/>
                <w:kern w:val="0"/>
              </w:rPr>
              <w:t>800</w:t>
            </w:r>
            <w:r>
              <w:rPr>
                <w:rFonts w:hint="eastAsia" w:ascii="宋体" w:hAnsi="宋体" w:cs="宋体"/>
                <w:kern w:val="0"/>
              </w:rPr>
              <w:t>毫米的雨水管网</w:t>
            </w:r>
            <w:r>
              <w:rPr>
                <w:rFonts w:ascii="宋体" w:hAnsi="宋体" w:cs="宋体"/>
                <w:kern w:val="0"/>
              </w:rPr>
              <w:t>688</w:t>
            </w:r>
            <w:r>
              <w:rPr>
                <w:rFonts w:hint="eastAsia" w:ascii="宋体" w:hAnsi="宋体" w:cs="宋体"/>
                <w:kern w:val="0"/>
              </w:rPr>
              <w:t>米，新建直径</w:t>
            </w:r>
            <w:r>
              <w:rPr>
                <w:rFonts w:ascii="宋体" w:hAnsi="宋体" w:cs="宋体"/>
                <w:kern w:val="0"/>
              </w:rPr>
              <w:t>800</w:t>
            </w:r>
            <w:r>
              <w:rPr>
                <w:rFonts w:hint="eastAsia" w:ascii="宋体" w:hAnsi="宋体" w:cs="宋体"/>
                <w:kern w:val="0"/>
              </w:rPr>
              <w:t>毫米的污水管网</w:t>
            </w:r>
            <w:r>
              <w:rPr>
                <w:rFonts w:ascii="宋体" w:hAnsi="宋体" w:cs="宋体"/>
                <w:kern w:val="0"/>
              </w:rPr>
              <w:t>688</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2024-2025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756</w:t>
            </w:r>
          </w:p>
        </w:tc>
      </w:tr>
      <w:tr>
        <w:tblPrEx>
          <w:tblCellMar>
            <w:top w:w="0" w:type="dxa"/>
            <w:left w:w="108" w:type="dxa"/>
            <w:bottom w:w="0" w:type="dxa"/>
            <w:right w:w="108" w:type="dxa"/>
          </w:tblCellMar>
        </w:tblPrEx>
        <w:trPr>
          <w:trHeight w:val="612"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永丰路项目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rPr>
              <w:t>道路全长</w:t>
            </w:r>
            <w:r>
              <w:rPr>
                <w:rFonts w:ascii="宋体" w:hAnsi="宋体" w:cs="宋体"/>
              </w:rPr>
              <w:t>1404</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2024-2025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5357</w:t>
            </w:r>
          </w:p>
        </w:tc>
      </w:tr>
      <w:tr>
        <w:tblPrEx>
          <w:tblCellMar>
            <w:top w:w="0" w:type="dxa"/>
            <w:left w:w="108" w:type="dxa"/>
            <w:bottom w:w="0" w:type="dxa"/>
            <w:right w:w="108" w:type="dxa"/>
          </w:tblCellMar>
        </w:tblPrEx>
        <w:trPr>
          <w:trHeight w:val="776"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横二路项目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kern w:val="0"/>
              </w:rPr>
              <w:t>新建直径</w:t>
            </w:r>
            <w:r>
              <w:rPr>
                <w:rFonts w:ascii="宋体" w:hAnsi="宋体" w:cs="宋体"/>
                <w:kern w:val="0"/>
              </w:rPr>
              <w:t>800</w:t>
            </w:r>
            <w:r>
              <w:rPr>
                <w:rFonts w:hint="eastAsia" w:ascii="宋体" w:hAnsi="宋体" w:cs="宋体"/>
                <w:kern w:val="0"/>
              </w:rPr>
              <w:t>毫米的雨水管网</w:t>
            </w:r>
            <w:r>
              <w:rPr>
                <w:rFonts w:ascii="宋体" w:hAnsi="宋体" w:cs="宋体"/>
                <w:kern w:val="0"/>
              </w:rPr>
              <w:t>890</w:t>
            </w:r>
            <w:r>
              <w:rPr>
                <w:rFonts w:hint="eastAsia" w:ascii="宋体" w:hAnsi="宋体" w:cs="宋体"/>
                <w:kern w:val="0"/>
              </w:rPr>
              <w:t>米，新建直径</w:t>
            </w:r>
            <w:r>
              <w:rPr>
                <w:rFonts w:ascii="宋体" w:hAnsi="宋体" w:cs="宋体"/>
                <w:kern w:val="0"/>
              </w:rPr>
              <w:t>800</w:t>
            </w:r>
            <w:r>
              <w:rPr>
                <w:rFonts w:hint="eastAsia" w:ascii="宋体" w:hAnsi="宋体" w:cs="宋体"/>
                <w:kern w:val="0"/>
              </w:rPr>
              <w:t>毫米的污水管网</w:t>
            </w:r>
            <w:r>
              <w:rPr>
                <w:rFonts w:ascii="宋体" w:hAnsi="宋体" w:cs="宋体"/>
                <w:kern w:val="0"/>
              </w:rPr>
              <w:t>890</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2025-2026</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978</w:t>
            </w:r>
          </w:p>
        </w:tc>
      </w:tr>
      <w:tr>
        <w:tblPrEx>
          <w:tblCellMar>
            <w:top w:w="0" w:type="dxa"/>
            <w:left w:w="108" w:type="dxa"/>
            <w:bottom w:w="0" w:type="dxa"/>
            <w:right w:w="108" w:type="dxa"/>
          </w:tblCellMar>
        </w:tblPrEx>
        <w:trPr>
          <w:trHeight w:val="602"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南新路项目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top"/>
              <w:rPr>
                <w:rFonts w:ascii="宋体"/>
              </w:rPr>
            </w:pPr>
            <w:r>
              <w:rPr>
                <w:rFonts w:hint="eastAsia" w:ascii="宋体" w:hAnsi="宋体" w:cs="宋体"/>
              </w:rPr>
              <w:t>道路全长</w:t>
            </w:r>
            <w:r>
              <w:rPr>
                <w:rFonts w:ascii="宋体" w:hAnsi="宋体" w:cs="宋体"/>
              </w:rPr>
              <w:t>1700</w:t>
            </w:r>
            <w:r>
              <w:rPr>
                <w:rFonts w:hint="eastAsia" w:ascii="宋体" w:hAnsi="宋体" w:cs="宋体"/>
              </w:rPr>
              <w:t>米，包含道路工程、排水工程、绿化工程、亮化工程等。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rPr>
            </w:pPr>
            <w:r>
              <w:rPr>
                <w:rFonts w:ascii="宋体" w:hAnsi="宋体" w:cs="宋体"/>
                <w:kern w:val="0"/>
              </w:rPr>
              <w:t>2025-2026</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4620</w:t>
            </w:r>
          </w:p>
        </w:tc>
      </w:tr>
      <w:tr>
        <w:tblPrEx>
          <w:tblCellMar>
            <w:top w:w="0" w:type="dxa"/>
            <w:left w:w="108" w:type="dxa"/>
            <w:bottom w:w="0" w:type="dxa"/>
            <w:right w:w="108" w:type="dxa"/>
          </w:tblCellMar>
        </w:tblPrEx>
        <w:trPr>
          <w:trHeight w:val="624"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ascii="宋体" w:hAnsi="宋体" w:cs="宋体"/>
                <w:kern w:val="0"/>
              </w:rPr>
              <w:t>5G</w:t>
            </w:r>
            <w:r>
              <w:rPr>
                <w:rFonts w:hint="eastAsia" w:ascii="宋体" w:hAnsi="宋体" w:cs="宋体"/>
                <w:kern w:val="0"/>
              </w:rPr>
              <w:t>网络建设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建设</w:t>
            </w:r>
            <w:r>
              <w:rPr>
                <w:rFonts w:ascii="宋体" w:hAnsi="宋体" w:cs="宋体"/>
                <w:kern w:val="0"/>
              </w:rPr>
              <w:t>100</w:t>
            </w:r>
            <w:r>
              <w:rPr>
                <w:rFonts w:hint="eastAsia" w:ascii="宋体" w:hAnsi="宋体" w:cs="宋体"/>
                <w:kern w:val="0"/>
              </w:rPr>
              <w:t>个</w:t>
            </w:r>
            <w:r>
              <w:rPr>
                <w:rFonts w:ascii="宋体" w:hAnsi="宋体" w:cs="宋体"/>
                <w:kern w:val="0"/>
              </w:rPr>
              <w:t>5G</w:t>
            </w:r>
            <w:r>
              <w:rPr>
                <w:rFonts w:hint="eastAsia" w:ascii="宋体" w:hAnsi="宋体" w:cs="宋体"/>
                <w:kern w:val="0"/>
              </w:rPr>
              <w:t>网络基站，实现全区</w:t>
            </w:r>
            <w:r>
              <w:rPr>
                <w:rFonts w:ascii="宋体" w:hAnsi="宋体" w:cs="宋体"/>
                <w:kern w:val="0"/>
              </w:rPr>
              <w:t>5G</w:t>
            </w:r>
            <w:r>
              <w:rPr>
                <w:rFonts w:hint="eastAsia" w:ascii="宋体" w:hAnsi="宋体" w:cs="宋体"/>
                <w:kern w:val="0"/>
              </w:rPr>
              <w:t>网络全覆盖。</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60000</w:t>
            </w:r>
          </w:p>
        </w:tc>
      </w:tr>
      <w:tr>
        <w:tblPrEx>
          <w:tblCellMar>
            <w:top w:w="0" w:type="dxa"/>
            <w:left w:w="108" w:type="dxa"/>
            <w:bottom w:w="0" w:type="dxa"/>
            <w:right w:w="108" w:type="dxa"/>
          </w:tblCellMar>
        </w:tblPrEx>
        <w:trPr>
          <w:trHeight w:val="2472"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rPr>
            </w:pPr>
            <w:r>
              <w:rPr>
                <w:rFonts w:ascii="宋体" w:hAnsi="宋体" w:cs="宋体"/>
                <w:spacing w:val="-6"/>
                <w:kern w:val="0"/>
              </w:rPr>
              <w:t>10</w:t>
            </w:r>
            <w:r>
              <w:rPr>
                <w:rFonts w:hint="eastAsia" w:ascii="宋体" w:hAnsi="宋体" w:cs="宋体"/>
                <w:spacing w:val="-6"/>
                <w:kern w:val="0"/>
              </w:rPr>
              <w:t>千伏及以下配电网改造等工程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ascii="宋体" w:hAnsi="宋体" w:cs="宋体"/>
                <w:kern w:val="0"/>
              </w:rPr>
              <w:t>2021</w:t>
            </w:r>
            <w:r>
              <w:rPr>
                <w:rFonts w:hint="eastAsia" w:ascii="宋体" w:hAnsi="宋体" w:cs="宋体"/>
                <w:kern w:val="0"/>
              </w:rPr>
              <w:t>年新建</w:t>
            </w:r>
            <w:r>
              <w:rPr>
                <w:rFonts w:ascii="宋体" w:hAnsi="宋体" w:cs="宋体"/>
                <w:kern w:val="0"/>
              </w:rPr>
              <w:t>10</w:t>
            </w:r>
            <w:r>
              <w:rPr>
                <w:rFonts w:hint="eastAsia" w:ascii="宋体" w:hAnsi="宋体" w:cs="宋体"/>
                <w:kern w:val="0"/>
              </w:rPr>
              <w:t>千伏线路</w:t>
            </w:r>
            <w:r>
              <w:rPr>
                <w:rFonts w:ascii="宋体" w:hAnsi="宋体" w:cs="宋体"/>
                <w:kern w:val="0"/>
              </w:rPr>
              <w:t>39.6</w:t>
            </w:r>
            <w:r>
              <w:rPr>
                <w:rFonts w:hint="eastAsia" w:ascii="宋体" w:hAnsi="宋体" w:cs="宋体"/>
                <w:kern w:val="0"/>
              </w:rPr>
              <w:t>千米，新建、改造配变</w:t>
            </w:r>
            <w:r>
              <w:rPr>
                <w:rFonts w:ascii="宋体" w:hAnsi="宋体" w:cs="宋体"/>
                <w:kern w:val="0"/>
              </w:rPr>
              <w:t>120</w:t>
            </w:r>
            <w:r>
              <w:rPr>
                <w:rFonts w:hint="eastAsia" w:ascii="宋体" w:hAnsi="宋体" w:cs="宋体"/>
                <w:kern w:val="0"/>
              </w:rPr>
              <w:t>台，新建改造低压线路</w:t>
            </w:r>
            <w:r>
              <w:rPr>
                <w:rFonts w:ascii="宋体" w:hAnsi="宋体" w:cs="宋体"/>
                <w:kern w:val="0"/>
              </w:rPr>
              <w:t>369.5</w:t>
            </w:r>
            <w:r>
              <w:rPr>
                <w:rFonts w:hint="eastAsia" w:ascii="宋体" w:hAnsi="宋体" w:cs="宋体"/>
                <w:kern w:val="0"/>
              </w:rPr>
              <w:t>千米；</w:t>
            </w:r>
            <w:r>
              <w:rPr>
                <w:rFonts w:ascii="宋体" w:hAnsi="宋体" w:cs="宋体"/>
                <w:kern w:val="0"/>
              </w:rPr>
              <w:t>2022</w:t>
            </w:r>
            <w:r>
              <w:rPr>
                <w:rFonts w:hint="eastAsia" w:ascii="宋体" w:hAnsi="宋体" w:cs="宋体"/>
                <w:kern w:val="0"/>
              </w:rPr>
              <w:t>年新建</w:t>
            </w:r>
            <w:r>
              <w:rPr>
                <w:rFonts w:ascii="宋体" w:hAnsi="宋体" w:cs="宋体"/>
                <w:kern w:val="0"/>
              </w:rPr>
              <w:t>10</w:t>
            </w:r>
            <w:r>
              <w:rPr>
                <w:rFonts w:hint="eastAsia" w:ascii="宋体" w:hAnsi="宋体" w:cs="宋体"/>
                <w:kern w:val="0"/>
              </w:rPr>
              <w:t>千伏线路</w:t>
            </w:r>
            <w:r>
              <w:rPr>
                <w:rFonts w:ascii="宋体" w:hAnsi="宋体" w:cs="宋体"/>
                <w:kern w:val="0"/>
              </w:rPr>
              <w:t>30.8</w:t>
            </w:r>
            <w:r>
              <w:rPr>
                <w:rFonts w:hint="eastAsia" w:ascii="宋体" w:hAnsi="宋体" w:cs="宋体"/>
                <w:kern w:val="0"/>
              </w:rPr>
              <w:t>千米，新建、改造配变</w:t>
            </w:r>
            <w:r>
              <w:rPr>
                <w:rFonts w:ascii="宋体" w:hAnsi="宋体" w:cs="宋体"/>
                <w:kern w:val="0"/>
              </w:rPr>
              <w:t>116</w:t>
            </w:r>
            <w:r>
              <w:rPr>
                <w:rFonts w:hint="eastAsia" w:ascii="宋体" w:hAnsi="宋体" w:cs="宋体"/>
                <w:kern w:val="0"/>
              </w:rPr>
              <w:t>台，新建改造低压线路</w:t>
            </w:r>
            <w:r>
              <w:rPr>
                <w:rFonts w:ascii="宋体" w:hAnsi="宋体" w:cs="宋体"/>
                <w:kern w:val="0"/>
              </w:rPr>
              <w:t>269.4</w:t>
            </w:r>
            <w:r>
              <w:rPr>
                <w:rFonts w:hint="eastAsia" w:ascii="宋体" w:hAnsi="宋体" w:cs="宋体"/>
                <w:kern w:val="0"/>
              </w:rPr>
              <w:t>千米；</w:t>
            </w:r>
            <w:r>
              <w:rPr>
                <w:rFonts w:ascii="宋体" w:hAnsi="宋体" w:cs="宋体"/>
                <w:kern w:val="0"/>
              </w:rPr>
              <w:t>2023</w:t>
            </w:r>
            <w:r>
              <w:rPr>
                <w:rFonts w:hint="eastAsia" w:ascii="宋体" w:hAnsi="宋体" w:cs="宋体"/>
                <w:kern w:val="0"/>
              </w:rPr>
              <w:t>年新建</w:t>
            </w:r>
            <w:r>
              <w:rPr>
                <w:rFonts w:ascii="宋体" w:hAnsi="宋体" w:cs="宋体"/>
                <w:kern w:val="0"/>
              </w:rPr>
              <w:t>10</w:t>
            </w:r>
            <w:r>
              <w:rPr>
                <w:rFonts w:hint="eastAsia" w:ascii="宋体" w:hAnsi="宋体" w:cs="宋体"/>
                <w:kern w:val="0"/>
              </w:rPr>
              <w:t>千伏线路</w:t>
            </w:r>
            <w:r>
              <w:rPr>
                <w:rFonts w:ascii="宋体" w:hAnsi="宋体" w:cs="宋体"/>
                <w:kern w:val="0"/>
              </w:rPr>
              <w:t>32.5</w:t>
            </w:r>
            <w:r>
              <w:rPr>
                <w:rFonts w:hint="eastAsia" w:ascii="宋体" w:hAnsi="宋体" w:cs="宋体"/>
                <w:kern w:val="0"/>
              </w:rPr>
              <w:t>千米，新建、改造配变</w:t>
            </w:r>
            <w:r>
              <w:rPr>
                <w:rFonts w:ascii="宋体" w:hAnsi="宋体" w:cs="宋体"/>
                <w:kern w:val="0"/>
              </w:rPr>
              <w:t>110</w:t>
            </w:r>
            <w:r>
              <w:rPr>
                <w:rFonts w:hint="eastAsia" w:ascii="宋体" w:hAnsi="宋体" w:cs="宋体"/>
                <w:kern w:val="0"/>
              </w:rPr>
              <w:t>台，新建改造低压线路</w:t>
            </w:r>
            <w:r>
              <w:rPr>
                <w:rFonts w:ascii="宋体" w:hAnsi="宋体" w:cs="宋体"/>
                <w:kern w:val="0"/>
              </w:rPr>
              <w:t>245.9</w:t>
            </w:r>
            <w:r>
              <w:rPr>
                <w:rFonts w:hint="eastAsia" w:ascii="宋体" w:hAnsi="宋体" w:cs="宋体"/>
                <w:kern w:val="0"/>
              </w:rPr>
              <w:t>千米；</w:t>
            </w:r>
            <w:r>
              <w:rPr>
                <w:rFonts w:ascii="宋体" w:hAnsi="宋体" w:cs="宋体"/>
                <w:kern w:val="0"/>
              </w:rPr>
              <w:t>2024</w:t>
            </w:r>
            <w:r>
              <w:rPr>
                <w:rFonts w:hint="eastAsia" w:ascii="宋体" w:hAnsi="宋体" w:cs="宋体"/>
                <w:kern w:val="0"/>
              </w:rPr>
              <w:t>年新建</w:t>
            </w:r>
            <w:r>
              <w:rPr>
                <w:rFonts w:ascii="宋体" w:hAnsi="宋体" w:cs="宋体"/>
                <w:kern w:val="0"/>
              </w:rPr>
              <w:t>10</w:t>
            </w:r>
            <w:r>
              <w:rPr>
                <w:rFonts w:hint="eastAsia" w:ascii="宋体" w:hAnsi="宋体" w:cs="宋体"/>
                <w:kern w:val="0"/>
              </w:rPr>
              <w:t>千伏线路</w:t>
            </w:r>
            <w:r>
              <w:rPr>
                <w:rFonts w:ascii="宋体" w:hAnsi="宋体" w:cs="宋体"/>
                <w:kern w:val="0"/>
              </w:rPr>
              <w:t>32.8</w:t>
            </w:r>
            <w:r>
              <w:rPr>
                <w:rFonts w:hint="eastAsia" w:ascii="宋体" w:hAnsi="宋体" w:cs="宋体"/>
                <w:kern w:val="0"/>
              </w:rPr>
              <w:t>千米，新建、改造配变</w:t>
            </w:r>
            <w:r>
              <w:rPr>
                <w:rFonts w:ascii="宋体" w:hAnsi="宋体" w:cs="宋体"/>
                <w:kern w:val="0"/>
              </w:rPr>
              <w:t>119</w:t>
            </w:r>
            <w:r>
              <w:rPr>
                <w:rFonts w:hint="eastAsia" w:ascii="宋体" w:hAnsi="宋体" w:cs="宋体"/>
                <w:kern w:val="0"/>
              </w:rPr>
              <w:t>台，新建改造低压线路</w:t>
            </w:r>
            <w:r>
              <w:rPr>
                <w:rFonts w:ascii="宋体" w:hAnsi="宋体" w:cs="宋体"/>
                <w:kern w:val="0"/>
              </w:rPr>
              <w:t>268.7</w:t>
            </w:r>
            <w:r>
              <w:rPr>
                <w:rFonts w:hint="eastAsia" w:ascii="宋体" w:hAnsi="宋体" w:cs="宋体"/>
                <w:kern w:val="0"/>
              </w:rPr>
              <w:t>千米；</w:t>
            </w:r>
            <w:r>
              <w:rPr>
                <w:rFonts w:ascii="宋体" w:hAnsi="宋体" w:cs="宋体"/>
                <w:kern w:val="0"/>
              </w:rPr>
              <w:t>2025</w:t>
            </w:r>
            <w:r>
              <w:rPr>
                <w:rFonts w:hint="eastAsia" w:ascii="宋体" w:hAnsi="宋体" w:cs="宋体"/>
                <w:kern w:val="0"/>
              </w:rPr>
              <w:t>年新建</w:t>
            </w:r>
            <w:r>
              <w:rPr>
                <w:rFonts w:ascii="宋体" w:hAnsi="宋体" w:cs="宋体"/>
                <w:kern w:val="0"/>
              </w:rPr>
              <w:t>10</w:t>
            </w:r>
            <w:r>
              <w:rPr>
                <w:rFonts w:hint="eastAsia" w:ascii="宋体" w:hAnsi="宋体" w:cs="宋体"/>
                <w:kern w:val="0"/>
              </w:rPr>
              <w:t>千伏线路</w:t>
            </w:r>
            <w:r>
              <w:rPr>
                <w:rFonts w:ascii="宋体" w:hAnsi="宋体" w:cs="宋体"/>
                <w:kern w:val="0"/>
              </w:rPr>
              <w:t>29.6</w:t>
            </w:r>
            <w:r>
              <w:rPr>
                <w:rFonts w:hint="eastAsia" w:ascii="宋体" w:hAnsi="宋体" w:cs="宋体"/>
                <w:kern w:val="0"/>
              </w:rPr>
              <w:t>千米，新建、改造配变</w:t>
            </w:r>
            <w:r>
              <w:rPr>
                <w:rFonts w:ascii="宋体" w:hAnsi="宋体" w:cs="宋体"/>
                <w:kern w:val="0"/>
              </w:rPr>
              <w:t>108</w:t>
            </w:r>
            <w:r>
              <w:rPr>
                <w:rFonts w:hint="eastAsia" w:ascii="宋体" w:hAnsi="宋体" w:cs="宋体"/>
                <w:kern w:val="0"/>
              </w:rPr>
              <w:t>台，新建改造低压线路</w:t>
            </w:r>
            <w:r>
              <w:rPr>
                <w:rFonts w:ascii="宋体" w:hAnsi="宋体" w:cs="宋体"/>
                <w:kern w:val="0"/>
              </w:rPr>
              <w:t>245.6</w:t>
            </w:r>
            <w:r>
              <w:rPr>
                <w:rFonts w:hint="eastAsia" w:ascii="宋体" w:hAnsi="宋体" w:cs="宋体"/>
                <w:kern w:val="0"/>
              </w:rPr>
              <w:t>千米。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27500</w:t>
            </w:r>
          </w:p>
        </w:tc>
      </w:tr>
      <w:tr>
        <w:tblPrEx>
          <w:tblCellMar>
            <w:top w:w="0" w:type="dxa"/>
            <w:left w:w="108" w:type="dxa"/>
            <w:bottom w:w="0" w:type="dxa"/>
            <w:right w:w="108" w:type="dxa"/>
          </w:tblCellMar>
        </w:tblPrEx>
        <w:trPr>
          <w:trHeight w:val="722"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湖南益阳资阳茈湖口</w:t>
            </w:r>
            <w:r>
              <w:rPr>
                <w:rFonts w:ascii="宋体" w:hAnsi="宋体" w:cs="宋体"/>
                <w:kern w:val="0"/>
              </w:rPr>
              <w:t>110</w:t>
            </w:r>
            <w:r>
              <w:rPr>
                <w:rFonts w:hint="eastAsia" w:ascii="宋体" w:hAnsi="宋体" w:cs="宋体"/>
                <w:kern w:val="0"/>
              </w:rPr>
              <w:t>千伏输变电工程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新建变电站一座，新增主变一台，容量</w:t>
            </w:r>
            <w:r>
              <w:rPr>
                <w:rFonts w:ascii="宋体" w:hAnsi="宋体" w:cs="宋体"/>
                <w:kern w:val="0"/>
              </w:rPr>
              <w:t>50</w:t>
            </w:r>
            <w:r>
              <w:rPr>
                <w:rFonts w:hint="eastAsia" w:ascii="宋体" w:hAnsi="宋体" w:cs="宋体"/>
                <w:kern w:val="0"/>
              </w:rPr>
              <w:t>兆伏安，新建线路</w:t>
            </w:r>
            <w:r>
              <w:rPr>
                <w:rFonts w:ascii="宋体" w:hAnsi="宋体" w:cs="宋体"/>
                <w:kern w:val="0"/>
              </w:rPr>
              <w:t>19.62</w:t>
            </w:r>
            <w:r>
              <w:rPr>
                <w:rFonts w:hint="eastAsia" w:ascii="宋体" w:hAnsi="宋体" w:cs="宋体"/>
                <w:kern w:val="0"/>
              </w:rPr>
              <w:t>千米。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2020-2021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湖南益阳迎丰桥－沅江（第二回）</w:t>
            </w:r>
            <w:r>
              <w:rPr>
                <w:rFonts w:ascii="宋体" w:hAnsi="宋体" w:cs="宋体"/>
                <w:kern w:val="0"/>
              </w:rPr>
              <w:t>220</w:t>
            </w:r>
            <w:r>
              <w:rPr>
                <w:rFonts w:hint="eastAsia" w:ascii="宋体" w:hAnsi="宋体" w:cs="宋体"/>
                <w:kern w:val="0"/>
              </w:rPr>
              <w:t>千伏线路</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新建线路</w:t>
            </w:r>
            <w:r>
              <w:rPr>
                <w:rFonts w:ascii="宋体" w:hAnsi="宋体" w:cs="宋体"/>
                <w:kern w:val="0"/>
              </w:rPr>
              <w:t>29.8</w:t>
            </w:r>
            <w:r>
              <w:rPr>
                <w:rFonts w:hint="eastAsia" w:ascii="宋体" w:hAnsi="宋体" w:cs="宋体"/>
                <w:kern w:val="0"/>
              </w:rPr>
              <w:t>千米。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2020-2021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7500</w:t>
            </w:r>
          </w:p>
        </w:tc>
      </w:tr>
      <w:tr>
        <w:tblPrEx>
          <w:tblCellMar>
            <w:top w:w="0" w:type="dxa"/>
            <w:left w:w="108" w:type="dxa"/>
            <w:bottom w:w="0" w:type="dxa"/>
            <w:right w:w="108" w:type="dxa"/>
          </w:tblCellMar>
        </w:tblPrEx>
        <w:trPr>
          <w:trHeight w:val="694"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青龙洲公园</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宋体"/>
              </w:rPr>
            </w:pPr>
            <w:r>
              <w:rPr>
                <w:rFonts w:hint="eastAsia" w:ascii="宋体" w:hAnsi="宋体" w:cs="宋体"/>
                <w:kern w:val="0"/>
              </w:rPr>
              <w:t>青龙洲公园总用地面积</w:t>
            </w:r>
            <w:r>
              <w:rPr>
                <w:rFonts w:ascii="宋体" w:hAnsi="宋体" w:cs="宋体"/>
                <w:kern w:val="0"/>
              </w:rPr>
              <w:t>784.7</w:t>
            </w:r>
            <w:r>
              <w:rPr>
                <w:rFonts w:hint="eastAsia" w:ascii="宋体" w:hAnsi="宋体" w:cs="宋体"/>
                <w:kern w:val="0"/>
              </w:rPr>
              <w:t>亩，规划内容包括亲子乐园、湿地科普、四季花海、文化展示。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2020-2021</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13000</w:t>
            </w:r>
          </w:p>
        </w:tc>
      </w:tr>
      <w:tr>
        <w:tblPrEx>
          <w:tblCellMar>
            <w:top w:w="0" w:type="dxa"/>
            <w:left w:w="108" w:type="dxa"/>
            <w:bottom w:w="0" w:type="dxa"/>
            <w:right w:w="108" w:type="dxa"/>
          </w:tblCellMar>
        </w:tblPrEx>
        <w:trPr>
          <w:trHeight w:val="1183"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燃气管网改造与建设（一期）</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总计</w:t>
            </w:r>
            <w:r>
              <w:rPr>
                <w:rFonts w:ascii="宋体" w:hAnsi="宋体" w:cs="宋体"/>
                <w:kern w:val="0"/>
              </w:rPr>
              <w:t>50</w:t>
            </w:r>
            <w:r>
              <w:rPr>
                <w:rFonts w:hint="eastAsia" w:ascii="宋体" w:hAnsi="宋体" w:cs="宋体"/>
                <w:kern w:val="0"/>
              </w:rPr>
              <w:t>千米：自沅益公路经关赖路、白马山、长春东路至新材料工业园的干管建设</w:t>
            </w:r>
            <w:r>
              <w:rPr>
                <w:rFonts w:ascii="宋体" w:hAnsi="宋体" w:cs="宋体"/>
                <w:kern w:val="0"/>
              </w:rPr>
              <w:t>22</w:t>
            </w:r>
            <w:r>
              <w:rPr>
                <w:rFonts w:hint="eastAsia" w:ascii="宋体" w:hAnsi="宋体" w:cs="宋体"/>
                <w:kern w:val="0"/>
              </w:rPr>
              <w:t>千米；自沅益公路经紫薇村至迎风桥镇干管建设</w:t>
            </w:r>
            <w:r>
              <w:rPr>
                <w:rFonts w:ascii="宋体" w:hAnsi="宋体" w:cs="宋体"/>
                <w:kern w:val="0"/>
              </w:rPr>
              <w:t>6.5</w:t>
            </w:r>
            <w:r>
              <w:rPr>
                <w:rFonts w:hint="eastAsia" w:ascii="宋体" w:hAnsi="宋体" w:cs="宋体"/>
                <w:kern w:val="0"/>
              </w:rPr>
              <w:t>千米；茈湖口镇、沙头镇、新桥河镇等乡镇</w:t>
            </w:r>
            <w:r>
              <w:rPr>
                <w:rFonts w:ascii="宋体" w:hAnsi="宋体" w:cs="宋体"/>
                <w:kern w:val="0"/>
              </w:rPr>
              <w:t>11.5</w:t>
            </w:r>
            <w:r>
              <w:rPr>
                <w:rFonts w:hint="eastAsia" w:ascii="宋体" w:hAnsi="宋体" w:cs="宋体"/>
                <w:kern w:val="0"/>
              </w:rPr>
              <w:t>千米。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4700</w:t>
            </w:r>
          </w:p>
        </w:tc>
      </w:tr>
      <w:tr>
        <w:tblPrEx>
          <w:tblCellMar>
            <w:top w:w="0" w:type="dxa"/>
            <w:left w:w="108" w:type="dxa"/>
            <w:bottom w:w="0" w:type="dxa"/>
            <w:right w:w="108" w:type="dxa"/>
          </w:tblCellMar>
        </w:tblPrEx>
        <w:trPr>
          <w:trHeight w:val="1002"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燃气管网改造与建设（二期）</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总计</w:t>
            </w:r>
            <w:r>
              <w:rPr>
                <w:rFonts w:ascii="宋体" w:hAnsi="宋体" w:cs="宋体"/>
                <w:kern w:val="0"/>
              </w:rPr>
              <w:t>40</w:t>
            </w:r>
            <w:r>
              <w:rPr>
                <w:rFonts w:hint="eastAsia" w:ascii="宋体" w:hAnsi="宋体" w:cs="宋体"/>
                <w:kern w:val="0"/>
              </w:rPr>
              <w:t>千米：沅益公路经</w:t>
            </w:r>
            <w:r>
              <w:rPr>
                <w:rFonts w:ascii="宋体" w:hAnsi="宋体" w:cs="宋体"/>
                <w:kern w:val="0"/>
              </w:rPr>
              <w:t>S319</w:t>
            </w:r>
            <w:r>
              <w:rPr>
                <w:rFonts w:hint="eastAsia" w:ascii="宋体" w:hAnsi="宋体" w:cs="宋体"/>
                <w:kern w:val="0"/>
              </w:rPr>
              <w:t>、过鹿坪、</w:t>
            </w:r>
            <w:r>
              <w:rPr>
                <w:rFonts w:hint="eastAsia" w:ascii="宋体" w:hAnsi="宋体" w:cs="宋体"/>
                <w:spacing w:val="-6"/>
                <w:kern w:val="0"/>
              </w:rPr>
              <w:t>沙头镇至茈湖口镇的管道建设；沅益公路经</w:t>
            </w:r>
            <w:r>
              <w:rPr>
                <w:rFonts w:ascii="宋体" w:hAnsi="宋体" w:cs="宋体"/>
                <w:spacing w:val="-6"/>
                <w:kern w:val="0"/>
              </w:rPr>
              <w:t>013</w:t>
            </w:r>
            <w:r>
              <w:rPr>
                <w:rFonts w:hint="eastAsia" w:ascii="宋体" w:hAnsi="宋体" w:cs="宋体"/>
                <w:spacing w:val="-6"/>
                <w:kern w:val="0"/>
              </w:rPr>
              <w:t>县道至新桥河镇的管道建设；新材料产业园和黄家湖食品加工产业园管道建设、各乡镇庭院低压管网建设。</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3800</w:t>
            </w:r>
          </w:p>
        </w:tc>
      </w:tr>
      <w:tr>
        <w:tblPrEx>
          <w:tblCellMar>
            <w:top w:w="0" w:type="dxa"/>
            <w:left w:w="108" w:type="dxa"/>
            <w:bottom w:w="0" w:type="dxa"/>
            <w:right w:w="108" w:type="dxa"/>
          </w:tblCellMar>
        </w:tblPrEx>
        <w:trPr>
          <w:trHeight w:val="708"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城区应急供水引水工程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其中新建黄家湖水厂</w:t>
            </w:r>
            <w:r>
              <w:rPr>
                <w:rFonts w:ascii="宋体" w:hAnsi="宋体" w:cs="宋体"/>
                <w:kern w:val="0"/>
              </w:rPr>
              <w:t>1</w:t>
            </w:r>
            <w:r>
              <w:rPr>
                <w:rFonts w:hint="eastAsia" w:ascii="宋体" w:hAnsi="宋体" w:cs="宋体"/>
                <w:kern w:val="0"/>
              </w:rPr>
              <w:t>处，供水规模</w:t>
            </w:r>
            <w:r>
              <w:rPr>
                <w:rFonts w:ascii="宋体" w:hAnsi="宋体" w:cs="宋体"/>
                <w:kern w:val="0"/>
              </w:rPr>
              <w:t>10000</w:t>
            </w:r>
            <w:r>
              <w:rPr>
                <w:rFonts w:hint="eastAsia" w:ascii="宋体" w:hAnsi="宋体" w:cs="宋体"/>
                <w:kern w:val="0"/>
              </w:rPr>
              <w:t>米</w:t>
            </w:r>
            <w:r>
              <w:rPr>
                <w:rFonts w:ascii="宋体" w:hAnsi="宋体" w:cs="宋体"/>
                <w:kern w:val="0"/>
              </w:rPr>
              <w:t>/</w:t>
            </w:r>
            <w:r>
              <w:rPr>
                <w:rFonts w:hint="eastAsia" w:ascii="宋体" w:hAnsi="宋体" w:cs="宋体"/>
                <w:kern w:val="0"/>
              </w:rPr>
              <w:t>天，配水管网</w:t>
            </w:r>
            <w:r>
              <w:rPr>
                <w:rFonts w:ascii="宋体" w:hAnsi="宋体" w:cs="宋体"/>
                <w:kern w:val="0"/>
              </w:rPr>
              <w:t>20</w:t>
            </w:r>
            <w:r>
              <w:rPr>
                <w:rFonts w:hint="eastAsia" w:ascii="宋体" w:hAnsi="宋体" w:cs="宋体"/>
                <w:kern w:val="0"/>
              </w:rPr>
              <w:t>公里；迎风桥水厂配水管网</w:t>
            </w:r>
            <w:r>
              <w:rPr>
                <w:rFonts w:ascii="宋体" w:hAnsi="宋体" w:cs="宋体"/>
                <w:kern w:val="0"/>
              </w:rPr>
              <w:t>25</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8500</w:t>
            </w:r>
          </w:p>
        </w:tc>
      </w:tr>
      <w:tr>
        <w:tblPrEx>
          <w:tblCellMar>
            <w:top w:w="0" w:type="dxa"/>
            <w:left w:w="108" w:type="dxa"/>
            <w:bottom w:w="0" w:type="dxa"/>
            <w:right w:w="108" w:type="dxa"/>
          </w:tblCellMar>
        </w:tblPrEx>
        <w:trPr>
          <w:trHeight w:val="694"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资阳大道西延建设项目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建设内容包含道路工程、排水工程、绿化工程、亮化工程以及交通附属设施。其中道路长度约</w:t>
            </w:r>
            <w:r>
              <w:rPr>
                <w:rFonts w:ascii="宋体" w:hAnsi="宋体" w:cs="宋体"/>
                <w:kern w:val="0"/>
              </w:rPr>
              <w:t>400</w:t>
            </w:r>
            <w:r>
              <w:rPr>
                <w:rFonts w:hint="eastAsia" w:ascii="宋体" w:hAnsi="宋体" w:cs="宋体"/>
                <w:kern w:val="0"/>
              </w:rPr>
              <w:t>米，道路宽度约</w:t>
            </w:r>
            <w:r>
              <w:rPr>
                <w:rFonts w:ascii="宋体" w:hAnsi="宋体" w:cs="宋体"/>
                <w:kern w:val="0"/>
              </w:rPr>
              <w:t>34</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8500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城镇供水设施扩改建工程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涉及到每个乡镇都包含扩改建各类自来水处理设施及</w:t>
            </w:r>
            <w:r>
              <w:rPr>
                <w:rFonts w:ascii="宋体" w:hAnsi="宋体" w:cs="宋体"/>
                <w:kern w:val="0"/>
              </w:rPr>
              <w:t>1</w:t>
            </w:r>
            <w:r>
              <w:rPr>
                <w:rFonts w:hint="eastAsia" w:ascii="宋体" w:hAnsi="宋体" w:cs="宋体"/>
                <w:kern w:val="0"/>
              </w:rPr>
              <w:t>栋办公楼及配套用房、室外围墙、边坡防护、给排水、道路等，铺设供水管网</w:t>
            </w:r>
            <w:r>
              <w:rPr>
                <w:rFonts w:ascii="宋体" w:hAnsi="宋体" w:cs="宋体"/>
                <w:kern w:val="0"/>
              </w:rPr>
              <w:t>10</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老旧小区改造项目（</w:t>
            </w:r>
            <w:r>
              <w:rPr>
                <w:rFonts w:ascii="宋体" w:hAnsi="宋体" w:cs="宋体"/>
                <w:kern w:val="0"/>
              </w:rPr>
              <w:t>93</w:t>
            </w:r>
            <w:r>
              <w:rPr>
                <w:rFonts w:hint="eastAsia" w:ascii="宋体" w:hAnsi="宋体" w:cs="宋体"/>
                <w:kern w:val="0"/>
              </w:rPr>
              <w:t>个）</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对资阳区老旧小区进行改造，主要建设内容：路面沥青黑化、雨污分流、停车位改造、建筑外立面改造、绿化、亮化工程等。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14492.4</w:t>
            </w:r>
          </w:p>
        </w:tc>
      </w:tr>
      <w:tr>
        <w:tblPrEx>
          <w:tblCellMar>
            <w:top w:w="0" w:type="dxa"/>
            <w:left w:w="108" w:type="dxa"/>
            <w:bottom w:w="0" w:type="dxa"/>
            <w:right w:w="108" w:type="dxa"/>
          </w:tblCellMar>
        </w:tblPrEx>
        <w:trPr>
          <w:trHeight w:val="567" w:hRule="atLeast"/>
          <w:jc w:val="center"/>
        </w:trPr>
        <w:tc>
          <w:tcPr>
            <w:tcW w:w="14114"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黑体" w:eastAsia="黑体"/>
                <w:kern w:val="0"/>
              </w:rPr>
            </w:pPr>
            <w:r>
              <w:rPr>
                <w:rFonts w:hint="eastAsia" w:ascii="黑体" w:hAnsi="黑体" w:eastAsia="黑体" w:cs="黑体"/>
                <w:kern w:val="0"/>
              </w:rPr>
              <w:t>二、“六个一”项目</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左家仑中心学校周边配套设施建设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对左家仑中心学校周边配套设施进行提质改造，包括道路、给排水、绿化、亮化等。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kern w:val="0"/>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张家塞乡中学改建项目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对张家塞中学运动场和旧校园提质改造和道路、给排水、绿化、亮化等附属工程。</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kern w:val="0"/>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龚家坪小学实施提质改造项目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对龚家坪小学教学楼、运动场和旧校园提质改造和道路、给排水、绿化、亮化等附属工程。</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kern w:val="0"/>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600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茈湖口镇五星小学改造工程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对茈湖口镇五星小学活动中心和图书馆提质改造和道路、给排水、绿化、亮化等附属工程。</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kern w:val="0"/>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十四中周边道路改造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对十四中周围道路、给排水、绿化、亮化等进行提质改造。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kern w:val="0"/>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kern w:val="0"/>
              </w:rPr>
            </w:pPr>
            <w:r>
              <w:rPr>
                <w:rFonts w:ascii="宋体" w:hAnsi="宋体" w:cs="宋体"/>
                <w:kern w:val="0"/>
              </w:rPr>
              <w:t>650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过鹿坪中学基础设施总体提质改造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对过鹿坪中学基础设施进行提质改造。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400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迎风桥公交环线与招呼站建设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对资阳区迎风桥公交环线、招呼站进行建设。</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350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张家塞汽车客运站建设项目</w:t>
            </w:r>
          </w:p>
        </w:tc>
        <w:tc>
          <w:tcPr>
            <w:tcW w:w="615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textAlignment w:val="center"/>
              <w:rPr>
                <w:rFonts w:ascii="宋体"/>
              </w:rPr>
            </w:pPr>
            <w:r>
              <w:rPr>
                <w:rFonts w:hint="eastAsia" w:ascii="宋体" w:hAnsi="宋体" w:cs="宋体"/>
                <w:kern w:val="0"/>
              </w:rPr>
              <w:t>新建三级客运站一个，修建客运服务中心。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新</w:t>
            </w:r>
            <w:r>
              <w:rPr>
                <w:rFonts w:hint="eastAsia" w:ascii="宋体" w:hAnsi="宋体" w:cs="宋体"/>
                <w:spacing w:val="-6"/>
                <w:kern w:val="0"/>
              </w:rPr>
              <w:t>桥河城乡公交首末站建设项目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对新桥河城乡公交首末站进行建设。</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350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茈湖口汽车站提质改造及新能源充电桩配套设施建设项目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对茈湖口镇汽车站进行提质改造，安装充电桩</w:t>
            </w:r>
            <w:r>
              <w:rPr>
                <w:rFonts w:ascii="宋体" w:hAnsi="宋体" w:cs="宋体"/>
                <w:kern w:val="0"/>
              </w:rPr>
              <w:t>50</w:t>
            </w:r>
            <w:r>
              <w:rPr>
                <w:rFonts w:hint="eastAsia" w:ascii="宋体" w:hAnsi="宋体" w:cs="宋体"/>
                <w:kern w:val="0"/>
              </w:rPr>
              <w:t>个。</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沙头镇中心招呼站点</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新建沙头镇中心招呼站点。</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长春镇四条公交线路站点基本保障项目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rPr>
            </w:pPr>
            <w:r>
              <w:rPr>
                <w:rFonts w:hint="eastAsia" w:ascii="宋体" w:hAnsi="宋体" w:cs="宋体"/>
                <w:kern w:val="0"/>
              </w:rPr>
              <w:t>对长春镇四条公交线路站点进行基础设施建设。</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rPr>
            </w:pPr>
            <w:r>
              <w:rPr>
                <w:rFonts w:ascii="宋体" w:hAnsi="宋体" w:cs="宋体"/>
                <w:kern w:val="0"/>
              </w:rPr>
              <w:t>150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迎风桥镇卫生院提质改造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对迎风桥镇卫生院基础设施建设进行提质改造。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张家塞卫生院整体搬迁</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张家塞卫生院整体搬迁。</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3500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新桥河镇中心卫生院整体搬迁</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新桥河镇中心卫生院整体搬迁。</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益阳市刘家湖血防医院康养中心项目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新建益阳市刘家湖血防医院康养中心。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4844.68</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益阳市资阳区血吸虫病预防救治中心项目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新建益阳市资阳区血吸虫病预防救治中心。</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2500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沙头镇卫生院提质改造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对沙头镇卫生院基础设施建设进行提质改造。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rPr>
            </w:pPr>
            <w:r>
              <w:rPr>
                <w:rFonts w:hint="eastAsia" w:ascii="宋体" w:hAnsi="宋体" w:cs="宋体"/>
                <w:spacing w:val="-6"/>
                <w:kern w:val="0"/>
              </w:rPr>
              <w:t>长春镇（香铺仑）卫生院提质改造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对长春镇卫生院基础设施建设进行提质改造。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迎风桥镇敬老院改扩建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对迎风桥镇敬老院基础设施建设进行提质改造。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张家塞乡敬老院提质改造扩建项目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对张家塞乡敬老院基础设施建设进行提质改造。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rPr>
            </w:pPr>
            <w:r>
              <w:rPr>
                <w:rFonts w:hint="eastAsia" w:ascii="宋体" w:hAnsi="宋体" w:cs="宋体"/>
                <w:spacing w:val="-6"/>
                <w:kern w:val="0"/>
              </w:rPr>
              <w:t>杨林坳敬老院提质扩容改造项目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对杨林坳敬老院基础设施建设进行提质改造。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茈湖口镇马王山敬老院及改造工程</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对茈湖口镇马王山敬老院新建一栋康养大楼，其余基础设施设进行提质改造。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续建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沙头中心敬老院改造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对沙头中心老院基础设施建设进行提质改造。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1065</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香铺仑敬老院提质改造项目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对香铺仑敬老院基础设施建设进行提质改造。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左家仑集镇提质改造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对左家仑集镇基础设施建设进行提质改造。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大潭洲农贸市场建设项目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新建大潭洲农贸市场。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龚家坪农贸市场提质改造项目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对龚家坪农贸市场基础设施建设进行提质改造。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茈湖口镇农贸市场提质改造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对茈湖口镇农贸市场基础设施建设进行提质改造。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120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沙头镇市场改造</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对沙头镇市场基础设施建设进行提质改造。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香铺仑农贸市场基本保障项目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对香铺仑农贸市场基础设施建设进行提质改造。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迎风桥文体活动广场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新建迎风桥文体活动广场、配套设施及停车场。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张家塞乡文体活动中心</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新建张家塞乡文体活动中心、配套设施及停车场。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月塘湾标准化文化广场建设项目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新建月塘湾标准化文化广场、配套设施及停车场。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茈湖口镇哑河文体广场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新建茈湖口镇哑河文体广场、配套设施及停车场。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沙头寓民文体广场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新建沙头寓民文体广场、配套设施及停车场。</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rPr>
            </w:pPr>
            <w:r>
              <w:rPr>
                <w:rFonts w:hint="eastAsia" w:ascii="宋体" w:hAnsi="宋体" w:cs="宋体"/>
                <w:kern w:val="0"/>
              </w:rPr>
              <w:t>长春镇文化站提质改造项目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对长春镇文化站进行提质改造。</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80</w:t>
            </w:r>
          </w:p>
        </w:tc>
      </w:tr>
      <w:tr>
        <w:tblPrEx>
          <w:tblCellMar>
            <w:top w:w="0" w:type="dxa"/>
            <w:left w:w="108" w:type="dxa"/>
            <w:bottom w:w="0" w:type="dxa"/>
            <w:right w:w="108" w:type="dxa"/>
          </w:tblCellMar>
        </w:tblPrEx>
        <w:trPr>
          <w:trHeight w:val="567" w:hRule="atLeast"/>
          <w:jc w:val="center"/>
        </w:trPr>
        <w:tc>
          <w:tcPr>
            <w:tcW w:w="14114"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黑体" w:eastAsia="黑体"/>
                <w:kern w:val="0"/>
              </w:rPr>
            </w:pPr>
            <w:r>
              <w:rPr>
                <w:rFonts w:hint="eastAsia" w:ascii="黑体" w:hAnsi="黑体" w:eastAsia="黑体" w:cs="黑体"/>
                <w:kern w:val="0"/>
              </w:rPr>
              <w:t>三、环境治理项目</w:t>
            </w:r>
          </w:p>
        </w:tc>
      </w:tr>
      <w:tr>
        <w:tblPrEx>
          <w:tblCellMar>
            <w:top w:w="0" w:type="dxa"/>
            <w:left w:w="108" w:type="dxa"/>
            <w:bottom w:w="0" w:type="dxa"/>
            <w:right w:w="108" w:type="dxa"/>
          </w:tblCellMar>
        </w:tblPrEx>
        <w:trPr>
          <w:trHeight w:val="1268"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资阳区城乡生活垃圾分类配套体系建设项目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拟在城区新建</w:t>
            </w:r>
            <w:r>
              <w:rPr>
                <w:rFonts w:ascii="宋体" w:hAnsi="宋体" w:cs="宋体"/>
                <w:kern w:val="0"/>
              </w:rPr>
              <w:t>2</w:t>
            </w:r>
            <w:r>
              <w:rPr>
                <w:rFonts w:hint="eastAsia" w:ascii="宋体" w:hAnsi="宋体" w:cs="宋体"/>
                <w:kern w:val="0"/>
              </w:rPr>
              <w:t>座垃圾中转站，五镇一乡新建</w:t>
            </w:r>
            <w:r>
              <w:rPr>
                <w:rFonts w:ascii="宋体" w:hAnsi="宋体" w:cs="宋体"/>
                <w:kern w:val="0"/>
              </w:rPr>
              <w:t>8</w:t>
            </w:r>
            <w:r>
              <w:rPr>
                <w:rFonts w:hint="eastAsia" w:ascii="宋体" w:hAnsi="宋体" w:cs="宋体"/>
                <w:kern w:val="0"/>
              </w:rPr>
              <w:t>座垃圾中转站，另配置</w:t>
            </w:r>
            <w:r>
              <w:rPr>
                <w:rFonts w:ascii="宋体" w:hAnsi="宋体" w:cs="宋体"/>
                <w:kern w:val="0"/>
              </w:rPr>
              <w:t>50</w:t>
            </w:r>
            <w:r>
              <w:rPr>
                <w:rFonts w:hint="eastAsia" w:ascii="宋体" w:hAnsi="宋体" w:cs="宋体"/>
                <w:kern w:val="0"/>
              </w:rPr>
              <w:t>台大中型垃圾转运车，</w:t>
            </w:r>
            <w:r>
              <w:rPr>
                <w:rFonts w:ascii="宋体" w:hAnsi="宋体" w:cs="宋体"/>
                <w:kern w:val="0"/>
              </w:rPr>
              <w:t>9</w:t>
            </w:r>
            <w:r>
              <w:rPr>
                <w:rFonts w:hint="eastAsia" w:ascii="宋体" w:hAnsi="宋体" w:cs="宋体"/>
                <w:kern w:val="0"/>
              </w:rPr>
              <w:t>台洒水车，</w:t>
            </w:r>
            <w:r>
              <w:rPr>
                <w:rFonts w:ascii="宋体" w:hAnsi="宋体" w:cs="宋体"/>
                <w:kern w:val="0"/>
              </w:rPr>
              <w:t>10</w:t>
            </w:r>
            <w:r>
              <w:rPr>
                <w:rFonts w:hint="eastAsia" w:ascii="宋体" w:hAnsi="宋体" w:cs="宋体"/>
                <w:kern w:val="0"/>
              </w:rPr>
              <w:t>套除臭设备，</w:t>
            </w:r>
            <w:r>
              <w:rPr>
                <w:rFonts w:ascii="宋体" w:hAnsi="宋体" w:cs="宋体"/>
                <w:kern w:val="0"/>
              </w:rPr>
              <w:t>10</w:t>
            </w:r>
            <w:r>
              <w:rPr>
                <w:rFonts w:hint="eastAsia" w:ascii="宋体" w:hAnsi="宋体" w:cs="宋体"/>
                <w:kern w:val="0"/>
              </w:rPr>
              <w:t>套垃圾渗滤液处理设备及</w:t>
            </w:r>
            <w:r>
              <w:rPr>
                <w:rFonts w:ascii="宋体" w:hAnsi="宋体" w:cs="宋体"/>
                <w:kern w:val="0"/>
              </w:rPr>
              <w:t>10</w:t>
            </w:r>
            <w:r>
              <w:rPr>
                <w:rFonts w:hint="eastAsia" w:ascii="宋体" w:hAnsi="宋体" w:cs="宋体"/>
                <w:kern w:val="0"/>
              </w:rPr>
              <w:t>万个垃圾分类桶，垃圾转运能力达</w:t>
            </w:r>
            <w:r>
              <w:rPr>
                <w:rFonts w:ascii="宋体" w:hAnsi="宋体" w:cs="宋体"/>
                <w:kern w:val="0"/>
              </w:rPr>
              <w:t>280</w:t>
            </w:r>
            <w:r>
              <w:rPr>
                <w:rFonts w:hint="eastAsia" w:ascii="宋体" w:hAnsi="宋体" w:cs="宋体"/>
                <w:kern w:val="0"/>
              </w:rPr>
              <w:t>吨</w:t>
            </w:r>
            <w:r>
              <w:rPr>
                <w:rFonts w:ascii="宋体" w:hAnsi="宋体" w:cs="宋体"/>
                <w:kern w:val="0"/>
              </w:rPr>
              <w:t>/</w:t>
            </w:r>
            <w:r>
              <w:rPr>
                <w:rFonts w:hint="eastAsia" w:ascii="宋体" w:hAnsi="宋体" w:cs="宋体"/>
                <w:kern w:val="0"/>
              </w:rPr>
              <w:t>日（其中城区生活垃圾</w:t>
            </w:r>
            <w:r>
              <w:rPr>
                <w:rFonts w:ascii="宋体" w:hAnsi="宋体" w:cs="宋体"/>
                <w:kern w:val="0"/>
              </w:rPr>
              <w:t>150</w:t>
            </w:r>
            <w:r>
              <w:rPr>
                <w:rFonts w:hint="eastAsia" w:ascii="宋体" w:hAnsi="宋体" w:cs="宋体"/>
                <w:kern w:val="0"/>
              </w:rPr>
              <w:t>吨</w:t>
            </w:r>
            <w:r>
              <w:rPr>
                <w:rFonts w:ascii="宋体" w:hAnsi="宋体" w:cs="宋体"/>
                <w:kern w:val="0"/>
              </w:rPr>
              <w:t>/</w:t>
            </w:r>
            <w:r>
              <w:rPr>
                <w:rFonts w:hint="eastAsia" w:ascii="宋体" w:hAnsi="宋体" w:cs="宋体"/>
                <w:kern w:val="0"/>
              </w:rPr>
              <w:t>日）。</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15000</w:t>
            </w:r>
          </w:p>
        </w:tc>
      </w:tr>
      <w:tr>
        <w:tblPrEx>
          <w:tblCellMar>
            <w:top w:w="0" w:type="dxa"/>
            <w:left w:w="108" w:type="dxa"/>
            <w:bottom w:w="0" w:type="dxa"/>
            <w:right w:w="108" w:type="dxa"/>
          </w:tblCellMar>
        </w:tblPrEx>
        <w:trPr>
          <w:trHeight w:val="232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长春镇污水处理厂提标改造项目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长春镇污水处理厂总占地面积</w:t>
            </w:r>
            <w:r>
              <w:rPr>
                <w:rFonts w:ascii="宋体" w:hAnsi="宋体" w:cs="宋体"/>
                <w:kern w:val="0"/>
              </w:rPr>
              <w:t>20000</w:t>
            </w:r>
            <w:r>
              <w:rPr>
                <w:rFonts w:hint="eastAsia" w:ascii="宋体" w:hAnsi="宋体" w:cs="宋体"/>
                <w:kern w:val="0"/>
              </w:rPr>
              <w:t>平方米，一期建设规模为</w:t>
            </w:r>
            <w:r>
              <w:rPr>
                <w:rFonts w:ascii="宋体" w:hAnsi="宋体" w:cs="宋体"/>
                <w:kern w:val="0"/>
              </w:rPr>
              <w:t>5000</w:t>
            </w:r>
            <w:r>
              <w:rPr>
                <w:rFonts w:hint="eastAsia" w:ascii="宋体" w:hAnsi="宋体" w:cs="宋体"/>
                <w:kern w:val="0"/>
              </w:rPr>
              <w:t>吨</w:t>
            </w:r>
            <w:r>
              <w:rPr>
                <w:rFonts w:ascii="宋体" w:hAnsi="宋体" w:cs="宋体"/>
                <w:kern w:val="0"/>
              </w:rPr>
              <w:t>/</w:t>
            </w:r>
            <w:r>
              <w:rPr>
                <w:rFonts w:hint="eastAsia" w:ascii="宋体" w:hAnsi="宋体" w:cs="宋体"/>
                <w:kern w:val="0"/>
              </w:rPr>
              <w:t>天，占地面积</w:t>
            </w:r>
            <w:r>
              <w:rPr>
                <w:rFonts w:ascii="宋体" w:hAnsi="宋体" w:cs="宋体"/>
                <w:kern w:val="0"/>
              </w:rPr>
              <w:t>10556.12</w:t>
            </w:r>
            <w:r>
              <w:rPr>
                <w:rFonts w:hint="eastAsia" w:ascii="宋体" w:hAnsi="宋体" w:cs="宋体"/>
                <w:kern w:val="0"/>
              </w:rPr>
              <w:t>平方米，总投资</w:t>
            </w:r>
            <w:r>
              <w:rPr>
                <w:rFonts w:ascii="宋体" w:hAnsi="宋体" w:cs="宋体"/>
                <w:kern w:val="0"/>
              </w:rPr>
              <w:t>17833.86</w:t>
            </w:r>
            <w:r>
              <w:rPr>
                <w:rFonts w:hint="eastAsia" w:ascii="宋体" w:hAnsi="宋体" w:cs="宋体"/>
                <w:kern w:val="0"/>
              </w:rPr>
              <w:t>万元，主要建设内容及规模包括：对长春镇污水处理厂进行提标改造，达到日处理污水量</w:t>
            </w:r>
            <w:r>
              <w:rPr>
                <w:rFonts w:ascii="宋体" w:hAnsi="宋体" w:cs="宋体"/>
                <w:kern w:val="0"/>
              </w:rPr>
              <w:t>2</w:t>
            </w:r>
            <w:r>
              <w:rPr>
                <w:rFonts w:hint="eastAsia" w:ascii="宋体" w:hAnsi="宋体" w:cs="宋体"/>
                <w:kern w:val="0"/>
              </w:rPr>
              <w:t>万吨处理标准，并配套完善电气及照明、室外给排水、道路、绿化及污泥运输设备等相关设施设备，并完成配套管网</w:t>
            </w:r>
            <w:r>
              <w:rPr>
                <w:rFonts w:ascii="宋体" w:hAnsi="宋体" w:cs="宋体"/>
                <w:kern w:val="0"/>
              </w:rPr>
              <w:t>20</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20000</w:t>
            </w:r>
          </w:p>
        </w:tc>
      </w:tr>
      <w:tr>
        <w:tblPrEx>
          <w:tblCellMar>
            <w:top w:w="0" w:type="dxa"/>
            <w:left w:w="108" w:type="dxa"/>
            <w:bottom w:w="0" w:type="dxa"/>
            <w:right w:w="108" w:type="dxa"/>
          </w:tblCellMar>
        </w:tblPrEx>
        <w:trPr>
          <w:trHeight w:val="681"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长春经开区新祝黑臭水体整治</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整治长度</w:t>
            </w:r>
            <w:r>
              <w:rPr>
                <w:rFonts w:ascii="宋体" w:hAnsi="宋体" w:cs="宋体"/>
                <w:kern w:val="0"/>
              </w:rPr>
              <w:t>16</w:t>
            </w:r>
            <w:r>
              <w:rPr>
                <w:rFonts w:hint="eastAsia" w:ascii="宋体" w:hAnsi="宋体" w:cs="宋体"/>
                <w:kern w:val="0"/>
              </w:rPr>
              <w:t>公里，结合沟渠清淤、垃圾清理、生态护坡等整治措施，进水达到国家有关标准。</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22000</w:t>
            </w:r>
          </w:p>
        </w:tc>
      </w:tr>
      <w:tr>
        <w:tblPrEx>
          <w:tblCellMar>
            <w:top w:w="0" w:type="dxa"/>
            <w:left w:w="108" w:type="dxa"/>
            <w:bottom w:w="0" w:type="dxa"/>
            <w:right w:w="108" w:type="dxa"/>
          </w:tblCellMar>
        </w:tblPrEx>
        <w:trPr>
          <w:trHeight w:val="736"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长春经开区水环境治理渠道整治</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包括杨树、新堤咀傍山水系和天心湖渠水系整治，全长约</w:t>
            </w:r>
            <w:r>
              <w:rPr>
                <w:rFonts w:ascii="宋体" w:hAnsi="宋体" w:cs="宋体"/>
                <w:kern w:val="0"/>
              </w:rPr>
              <w:t>6</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18000</w:t>
            </w:r>
          </w:p>
        </w:tc>
      </w:tr>
      <w:tr>
        <w:tblPrEx>
          <w:tblCellMar>
            <w:top w:w="0" w:type="dxa"/>
            <w:left w:w="108" w:type="dxa"/>
            <w:bottom w:w="0" w:type="dxa"/>
            <w:right w:w="108" w:type="dxa"/>
          </w:tblCellMar>
        </w:tblPrEx>
        <w:trPr>
          <w:trHeight w:val="1323"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长春经开区中心城区水系内循环综合治理</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新建电子产业园污水处理厂及配套管网，新材料产业园污水处理厂二期及城北污水处理厂提质扩容、中水回用改造，入企入户管道铺设。月塘渠、高桥渠、幸福渠、接城堤渠底泥清淤及生态护坡等建设。</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80000</w:t>
            </w:r>
          </w:p>
        </w:tc>
      </w:tr>
      <w:tr>
        <w:tblPrEx>
          <w:tblCellMar>
            <w:top w:w="0" w:type="dxa"/>
            <w:left w:w="108" w:type="dxa"/>
            <w:bottom w:w="0" w:type="dxa"/>
            <w:right w:w="108" w:type="dxa"/>
          </w:tblCellMar>
        </w:tblPrEx>
        <w:trPr>
          <w:trHeight w:val="750"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乡镇污水处理设施建设续建项目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新建污水处理设施</w:t>
            </w:r>
            <w:r>
              <w:rPr>
                <w:rFonts w:ascii="宋体" w:hAnsi="宋体" w:cs="宋体"/>
                <w:kern w:val="0"/>
              </w:rPr>
              <w:t>5000</w:t>
            </w:r>
            <w:r>
              <w:rPr>
                <w:rFonts w:hint="eastAsia" w:ascii="宋体" w:hAnsi="宋体" w:cs="宋体"/>
                <w:kern w:val="0"/>
              </w:rPr>
              <w:t>吨，新建改造污水管网</w:t>
            </w:r>
            <w:r>
              <w:rPr>
                <w:rFonts w:ascii="宋体" w:hAnsi="宋体" w:cs="宋体"/>
                <w:kern w:val="0"/>
              </w:rPr>
              <w:t>73.5</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11000</w:t>
            </w:r>
          </w:p>
        </w:tc>
      </w:tr>
      <w:tr>
        <w:tblPrEx>
          <w:tblCellMar>
            <w:top w:w="0" w:type="dxa"/>
            <w:left w:w="108" w:type="dxa"/>
            <w:bottom w:w="0" w:type="dxa"/>
            <w:right w:w="108" w:type="dxa"/>
          </w:tblCellMar>
        </w:tblPrEx>
        <w:trPr>
          <w:trHeight w:val="1016"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乡镇集中式饮用水源地环境</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调查目前资阳区水源地的保护、水质情况，因地制宜采取合适水源地保护措施、要求及水质监测等，确保源水水质符合要求。</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5000</w:t>
            </w:r>
          </w:p>
        </w:tc>
      </w:tr>
      <w:tr>
        <w:tblPrEx>
          <w:tblCellMar>
            <w:top w:w="0" w:type="dxa"/>
            <w:left w:w="108" w:type="dxa"/>
            <w:bottom w:w="0" w:type="dxa"/>
            <w:right w:w="108" w:type="dxa"/>
          </w:tblCellMar>
        </w:tblPrEx>
        <w:trPr>
          <w:trHeight w:val="694"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长春经济开发区电子产业园污水处理厂项目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建设污水处理厂</w:t>
            </w:r>
            <w:r>
              <w:rPr>
                <w:rFonts w:ascii="宋体" w:hAnsi="宋体" w:cs="宋体"/>
                <w:kern w:val="0"/>
              </w:rPr>
              <w:t>1</w:t>
            </w:r>
            <w:r>
              <w:rPr>
                <w:rFonts w:hint="eastAsia" w:ascii="宋体" w:hAnsi="宋体" w:cs="宋体"/>
                <w:kern w:val="0"/>
              </w:rPr>
              <w:t>座，占地面积</w:t>
            </w:r>
            <w:r>
              <w:rPr>
                <w:rFonts w:ascii="宋体" w:hAnsi="宋体" w:cs="宋体"/>
                <w:kern w:val="0"/>
              </w:rPr>
              <w:t>54932.66</w:t>
            </w:r>
            <w:r>
              <w:rPr>
                <w:rFonts w:hint="eastAsia" w:ascii="宋体" w:hAnsi="宋体" w:cs="宋体"/>
                <w:kern w:val="0"/>
              </w:rPr>
              <w:t>平方米，处理规模为</w:t>
            </w:r>
            <w:r>
              <w:rPr>
                <w:rFonts w:ascii="宋体" w:hAnsi="宋体" w:cs="宋体"/>
                <w:kern w:val="0"/>
              </w:rPr>
              <w:t>2</w:t>
            </w:r>
            <w:r>
              <w:rPr>
                <w:rFonts w:hint="eastAsia" w:ascii="宋体" w:hAnsi="宋体" w:cs="宋体"/>
                <w:kern w:val="0"/>
              </w:rPr>
              <w:t>万立方米</w:t>
            </w:r>
            <w:r>
              <w:rPr>
                <w:rFonts w:ascii="宋体" w:hAnsi="宋体" w:cs="宋体"/>
                <w:kern w:val="0"/>
              </w:rPr>
              <w:t>/</w:t>
            </w:r>
            <w:r>
              <w:rPr>
                <w:rFonts w:hint="eastAsia" w:ascii="宋体" w:hAnsi="宋体" w:cs="宋体"/>
                <w:kern w:val="0"/>
              </w:rPr>
              <w:t>天。</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2022-2023</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39000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益阳市资阳区黄家湖流域水环境综合治理项目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包括整治黄家湖流域的生态护岸、边坡修整、污染底泥清淤、生态沟渠、人工湿地、生态防护栏、沿河垃圾清运、生态步道、污水截流等综合治理工程。其中生态护岸及边坡修整</w:t>
            </w:r>
            <w:r>
              <w:rPr>
                <w:rFonts w:ascii="宋体" w:hAnsi="宋体" w:cs="宋体"/>
                <w:kern w:val="0"/>
              </w:rPr>
              <w:t>14.4</w:t>
            </w:r>
            <w:r>
              <w:rPr>
                <w:rFonts w:hint="eastAsia" w:ascii="宋体" w:hAnsi="宋体" w:cs="宋体"/>
                <w:kern w:val="0"/>
              </w:rPr>
              <w:t>公里；河道底泥清淤</w:t>
            </w:r>
            <w:r>
              <w:rPr>
                <w:rFonts w:ascii="宋体" w:hAnsi="宋体" w:cs="宋体"/>
                <w:kern w:val="0"/>
              </w:rPr>
              <w:t>29.8</w:t>
            </w:r>
            <w:r>
              <w:rPr>
                <w:rFonts w:hint="eastAsia" w:ascii="宋体" w:hAnsi="宋体" w:cs="宋体"/>
                <w:kern w:val="0"/>
              </w:rPr>
              <w:t>万立方米；生态沟渠</w:t>
            </w:r>
            <w:r>
              <w:rPr>
                <w:rFonts w:ascii="宋体" w:hAnsi="宋体" w:cs="宋体"/>
                <w:kern w:val="0"/>
              </w:rPr>
              <w:t>24.5</w:t>
            </w:r>
            <w:r>
              <w:rPr>
                <w:rFonts w:hint="eastAsia" w:ascii="宋体" w:hAnsi="宋体" w:cs="宋体"/>
                <w:kern w:val="0"/>
              </w:rPr>
              <w:t>公里；生态防护栏</w:t>
            </w:r>
            <w:r>
              <w:rPr>
                <w:rFonts w:ascii="宋体" w:hAnsi="宋体" w:cs="宋体"/>
                <w:kern w:val="0"/>
              </w:rPr>
              <w:t>20.7</w:t>
            </w:r>
            <w:r>
              <w:rPr>
                <w:rFonts w:hint="eastAsia" w:ascii="宋体" w:hAnsi="宋体" w:cs="宋体"/>
                <w:kern w:val="0"/>
              </w:rPr>
              <w:t>公里；人工湿地</w:t>
            </w:r>
            <w:r>
              <w:rPr>
                <w:rFonts w:ascii="宋体" w:hAnsi="宋体" w:cs="宋体"/>
                <w:kern w:val="0"/>
              </w:rPr>
              <w:t>2.96</w:t>
            </w:r>
            <w:r>
              <w:rPr>
                <w:rFonts w:hint="eastAsia" w:ascii="宋体" w:hAnsi="宋体" w:cs="宋体"/>
                <w:kern w:val="0"/>
              </w:rPr>
              <w:t>平方公里；沿河垃圾收运系统</w:t>
            </w:r>
            <w:r>
              <w:rPr>
                <w:rFonts w:ascii="宋体" w:hAnsi="宋体" w:cs="宋体"/>
                <w:kern w:val="0"/>
              </w:rPr>
              <w:t>2</w:t>
            </w:r>
            <w:r>
              <w:rPr>
                <w:rFonts w:hint="eastAsia" w:ascii="宋体" w:hAnsi="宋体" w:cs="宋体"/>
                <w:kern w:val="0"/>
              </w:rPr>
              <w:t>套，日收运处理垃圾量</w:t>
            </w:r>
            <w:r>
              <w:rPr>
                <w:rFonts w:ascii="宋体" w:hAnsi="宋体" w:cs="宋体"/>
                <w:kern w:val="0"/>
              </w:rPr>
              <w:t>45</w:t>
            </w:r>
            <w:r>
              <w:rPr>
                <w:rFonts w:hint="eastAsia" w:ascii="宋体" w:hAnsi="宋体" w:cs="宋体"/>
                <w:kern w:val="0"/>
              </w:rPr>
              <w:t>吨；配套截污管网工程建设截污管道</w:t>
            </w:r>
            <w:r>
              <w:rPr>
                <w:rFonts w:ascii="宋体" w:hAnsi="宋体" w:cs="宋体"/>
                <w:kern w:val="0"/>
              </w:rPr>
              <w:t>55.6</w:t>
            </w:r>
            <w:r>
              <w:rPr>
                <w:rFonts w:hint="eastAsia" w:ascii="宋体" w:hAnsi="宋体" w:cs="宋体"/>
                <w:kern w:val="0"/>
              </w:rPr>
              <w:t>公里。</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18900</w:t>
            </w:r>
          </w:p>
        </w:tc>
      </w:tr>
      <w:tr>
        <w:tblPrEx>
          <w:tblCellMar>
            <w:top w:w="0" w:type="dxa"/>
            <w:left w:w="108" w:type="dxa"/>
            <w:bottom w:w="0" w:type="dxa"/>
            <w:right w:w="108" w:type="dxa"/>
          </w:tblCellMar>
        </w:tblPrEx>
        <w:trPr>
          <w:trHeight w:val="1419"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大码头老城区地下管网改造项目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老城区的地下管网进行提质改造，以满足片区雨污分流、防渍排涝需求。主要包括雨水管渠提标改造、合流制排水管渠改造、新建雨水管网，新建污水检查井及雨水检查井，管道清淤等，并完成配套的土石方及回填、道路破除及恢复等工程。</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改扩建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11800</w:t>
            </w:r>
          </w:p>
        </w:tc>
      </w:tr>
      <w:tr>
        <w:tblPrEx>
          <w:tblCellMar>
            <w:top w:w="0" w:type="dxa"/>
            <w:left w:w="108" w:type="dxa"/>
            <w:bottom w:w="0" w:type="dxa"/>
            <w:right w:w="108" w:type="dxa"/>
          </w:tblCellMar>
        </w:tblPrEx>
        <w:trPr>
          <w:trHeight w:val="1381"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迎春路东片区地下管网改造项目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老城区的地下管网进行提质改造，以满足片区雨污分流、防渍排涝需求。主要包括雨水管渠提标改造、合流制排水管渠改造、新建雨水管网，新建污水检查井及雨水检查井，管道清淤等，并完成配套的土石方及回填、道路破除及恢复等工程。</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改扩建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10800</w:t>
            </w:r>
          </w:p>
        </w:tc>
      </w:tr>
      <w:tr>
        <w:tblPrEx>
          <w:tblCellMar>
            <w:top w:w="0" w:type="dxa"/>
            <w:left w:w="108" w:type="dxa"/>
            <w:bottom w:w="0" w:type="dxa"/>
            <w:right w:w="108" w:type="dxa"/>
          </w:tblCellMar>
        </w:tblPrEx>
        <w:trPr>
          <w:trHeight w:val="1701"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12</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益阳长春经济开发区管网雨污分流改造及电子产业园水处理厂配套管网建设项目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本项目拟新建电子产业园配套雨水收集管网</w:t>
            </w:r>
            <w:r>
              <w:rPr>
                <w:rFonts w:ascii="宋体" w:hAnsi="宋体" w:cs="宋体"/>
                <w:kern w:val="0"/>
              </w:rPr>
              <w:t xml:space="preserve"> 17962</w:t>
            </w:r>
            <w:r>
              <w:rPr>
                <w:rFonts w:hint="eastAsia" w:ascii="宋体" w:hAnsi="宋体" w:cs="宋体"/>
                <w:kern w:val="0"/>
              </w:rPr>
              <w:t>米；新建五一路污水管</w:t>
            </w:r>
            <w:r>
              <w:rPr>
                <w:rFonts w:ascii="宋体" w:hAnsi="宋体" w:cs="宋体"/>
                <w:kern w:val="0"/>
              </w:rPr>
              <w:t>1645</w:t>
            </w:r>
            <w:r>
              <w:rPr>
                <w:rFonts w:hint="eastAsia" w:ascii="宋体" w:hAnsi="宋体" w:cs="宋体"/>
                <w:kern w:val="0"/>
              </w:rPr>
              <w:t>米，新建府前路雨水管</w:t>
            </w:r>
            <w:r>
              <w:rPr>
                <w:rFonts w:ascii="宋体" w:hAnsi="宋体" w:cs="宋体"/>
                <w:kern w:val="0"/>
              </w:rPr>
              <w:t>1010</w:t>
            </w:r>
            <w:r>
              <w:rPr>
                <w:rFonts w:hint="eastAsia" w:ascii="宋体" w:hAnsi="宋体" w:cs="宋体"/>
                <w:kern w:val="0"/>
              </w:rPr>
              <w:t>米和污水管</w:t>
            </w:r>
            <w:r>
              <w:rPr>
                <w:rFonts w:ascii="宋体" w:hAnsi="宋体" w:cs="宋体"/>
                <w:kern w:val="0"/>
              </w:rPr>
              <w:t>1010</w:t>
            </w:r>
            <w:r>
              <w:rPr>
                <w:rFonts w:hint="eastAsia" w:ascii="宋体" w:hAnsi="宋体" w:cs="宋体"/>
                <w:kern w:val="0"/>
              </w:rPr>
              <w:t>米，新建永丰路雨水管</w:t>
            </w:r>
            <w:r>
              <w:rPr>
                <w:rFonts w:ascii="宋体" w:hAnsi="宋体" w:cs="宋体"/>
                <w:kern w:val="0"/>
              </w:rPr>
              <w:t>1396</w:t>
            </w:r>
            <w:r>
              <w:rPr>
                <w:rFonts w:hint="eastAsia" w:ascii="宋体" w:hAnsi="宋体" w:cs="宋体"/>
                <w:kern w:val="0"/>
              </w:rPr>
              <w:t>米和污水管</w:t>
            </w:r>
            <w:r>
              <w:rPr>
                <w:rFonts w:ascii="宋体" w:hAnsi="宋体" w:cs="宋体"/>
                <w:kern w:val="0"/>
              </w:rPr>
              <w:t>1396</w:t>
            </w:r>
            <w:r>
              <w:rPr>
                <w:rFonts w:hint="eastAsia" w:ascii="宋体" w:hAnsi="宋体" w:cs="宋体"/>
                <w:kern w:val="0"/>
              </w:rPr>
              <w:t>米；新建益阳长春经济开发区电子产业园污水处理厂配套污水管网</w:t>
            </w:r>
            <w:r>
              <w:rPr>
                <w:rFonts w:ascii="宋体" w:hAnsi="宋体" w:cs="宋体"/>
                <w:kern w:val="0"/>
              </w:rPr>
              <w:t>18019</w:t>
            </w:r>
            <w:r>
              <w:rPr>
                <w:rFonts w:hint="eastAsia" w:ascii="宋体" w:hAnsi="宋体" w:cs="宋体"/>
                <w:kern w:val="0"/>
              </w:rPr>
              <w:t>米。</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5325</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13</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茈湖口镇污水处理设施建设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对茈湖口镇建设处理量</w:t>
            </w:r>
            <w:r>
              <w:rPr>
                <w:rFonts w:ascii="宋体" w:hAnsi="宋体" w:cs="宋体"/>
                <w:kern w:val="0"/>
              </w:rPr>
              <w:t>360</w:t>
            </w:r>
            <w:r>
              <w:rPr>
                <w:rFonts w:hint="eastAsia" w:ascii="宋体" w:hAnsi="宋体" w:cs="宋体"/>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14</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沙头镇污水处理设施建设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对沙头镇建设处理量</w:t>
            </w:r>
            <w:r>
              <w:rPr>
                <w:rFonts w:ascii="宋体" w:hAnsi="宋体" w:cs="宋体"/>
                <w:spacing w:val="-6"/>
                <w:kern w:val="0"/>
              </w:rPr>
              <w:t>690</w:t>
            </w:r>
            <w:r>
              <w:rPr>
                <w:rFonts w:hint="eastAsia" w:ascii="宋体" w:hAnsi="宋体" w:cs="宋体"/>
                <w:spacing w:val="-6"/>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350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15</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张家塞乡污水处理设施建设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对张家塞乡建设处理量</w:t>
            </w:r>
            <w:r>
              <w:rPr>
                <w:rFonts w:ascii="宋体" w:hAnsi="宋体" w:cs="宋体"/>
                <w:kern w:val="0"/>
              </w:rPr>
              <w:t>210</w:t>
            </w:r>
            <w:r>
              <w:rPr>
                <w:rFonts w:hint="eastAsia" w:ascii="宋体" w:hAnsi="宋体" w:cs="宋体"/>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150</w:t>
            </w:r>
          </w:p>
        </w:tc>
      </w:tr>
      <w:tr>
        <w:tblPrEx>
          <w:tblCellMar>
            <w:top w:w="0" w:type="dxa"/>
            <w:left w:w="108" w:type="dxa"/>
            <w:bottom w:w="0" w:type="dxa"/>
            <w:right w:w="108" w:type="dxa"/>
          </w:tblCellMar>
        </w:tblPrEx>
        <w:trPr>
          <w:trHeight w:val="43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rPr>
            </w:pPr>
            <w:r>
              <w:rPr>
                <w:rFonts w:ascii="宋体" w:hAnsi="宋体" w:cs="宋体"/>
              </w:rPr>
              <w:t>16</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长春镇污水处理设施建设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对长春镇建设处理量</w:t>
            </w:r>
            <w:r>
              <w:rPr>
                <w:rFonts w:ascii="宋体" w:hAnsi="宋体" w:cs="宋体"/>
                <w:spacing w:val="-6"/>
                <w:kern w:val="0"/>
              </w:rPr>
              <w:t>350</w:t>
            </w:r>
            <w:r>
              <w:rPr>
                <w:rFonts w:hint="eastAsia" w:ascii="宋体" w:hAnsi="宋体" w:cs="宋体"/>
                <w:spacing w:val="-6"/>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17</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迎风桥镇污水处理设施建设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对迎风桥镇建设处理量</w:t>
            </w:r>
            <w:r>
              <w:rPr>
                <w:rFonts w:ascii="宋体" w:hAnsi="宋体" w:cs="宋体"/>
                <w:kern w:val="0"/>
              </w:rPr>
              <w:t>150</w:t>
            </w:r>
            <w:r>
              <w:rPr>
                <w:rFonts w:hint="eastAsia" w:ascii="宋体" w:hAnsi="宋体" w:cs="宋体"/>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90</w:t>
            </w:r>
          </w:p>
        </w:tc>
      </w:tr>
      <w:tr>
        <w:tblPrEx>
          <w:tblCellMar>
            <w:top w:w="0" w:type="dxa"/>
            <w:left w:w="108" w:type="dxa"/>
            <w:bottom w:w="0" w:type="dxa"/>
            <w:right w:w="108" w:type="dxa"/>
          </w:tblCellMar>
        </w:tblPrEx>
        <w:trPr>
          <w:trHeight w:val="567" w:hRule="atLeast"/>
          <w:jc w:val="center"/>
        </w:trPr>
        <w:tc>
          <w:tcPr>
            <w:tcW w:w="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18</w:t>
            </w:r>
          </w:p>
        </w:tc>
        <w:tc>
          <w:tcPr>
            <w:tcW w:w="30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新桥河镇污水处理设施建设</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对新桥河镇建设处理量</w:t>
            </w:r>
            <w:r>
              <w:rPr>
                <w:rFonts w:ascii="宋体" w:hAnsi="宋体" w:cs="宋体"/>
                <w:kern w:val="0"/>
              </w:rPr>
              <w:t>180</w:t>
            </w:r>
            <w:r>
              <w:rPr>
                <w:rFonts w:hint="eastAsia" w:ascii="宋体" w:hAnsi="宋体" w:cs="宋体"/>
                <w:kern w:val="0"/>
              </w:rPr>
              <w:t>吨的污水处理设备及配套污水管网工程等。</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新建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100</w:t>
            </w:r>
          </w:p>
        </w:tc>
      </w:tr>
      <w:tr>
        <w:tblPrEx>
          <w:tblCellMar>
            <w:top w:w="0" w:type="dxa"/>
            <w:left w:w="108" w:type="dxa"/>
            <w:bottom w:w="0" w:type="dxa"/>
            <w:right w:w="108" w:type="dxa"/>
          </w:tblCellMar>
        </w:tblPrEx>
        <w:trPr>
          <w:trHeight w:val="452" w:hRule="atLeast"/>
          <w:jc w:val="center"/>
        </w:trPr>
        <w:tc>
          <w:tcPr>
            <w:tcW w:w="14114"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黑体" w:eastAsia="黑体"/>
                <w:kern w:val="0"/>
              </w:rPr>
            </w:pPr>
            <w:r>
              <w:rPr>
                <w:rFonts w:hint="eastAsia" w:ascii="黑体" w:hAnsi="黑体" w:eastAsia="黑体" w:cs="黑体"/>
                <w:kern w:val="0"/>
              </w:rPr>
              <w:t>四、棚户区改造</w:t>
            </w:r>
          </w:p>
        </w:tc>
      </w:tr>
      <w:tr>
        <w:tblPrEx>
          <w:tblCellMar>
            <w:top w:w="0" w:type="dxa"/>
            <w:left w:w="108" w:type="dxa"/>
            <w:bottom w:w="0" w:type="dxa"/>
            <w:right w:w="108" w:type="dxa"/>
          </w:tblCellMar>
        </w:tblPrEx>
        <w:trPr>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资阳区药皇宫棚改（古道街二期）基础配套设施建设项目</w:t>
            </w:r>
            <w:r>
              <w:rPr>
                <w:rFonts w:ascii="宋体" w:hAnsi="宋体" w:cs="宋体"/>
                <w:kern w:val="0"/>
              </w:rPr>
              <w:t>(</w:t>
            </w:r>
            <w:r>
              <w:rPr>
                <w:rFonts w:hint="eastAsia" w:ascii="宋体" w:hAnsi="宋体" w:cs="宋体"/>
                <w:kern w:val="0"/>
              </w:rPr>
              <w:t>古道街小区）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雨水排水管道</w:t>
            </w:r>
            <w:r>
              <w:rPr>
                <w:rFonts w:ascii="宋体" w:hAnsi="宋体" w:cs="宋体"/>
                <w:kern w:val="0"/>
              </w:rPr>
              <w:t>200</w:t>
            </w:r>
            <w:r>
              <w:rPr>
                <w:rFonts w:hint="eastAsia" w:ascii="宋体" w:hAnsi="宋体" w:cs="宋体"/>
                <w:kern w:val="0"/>
              </w:rPr>
              <w:t>米，污水排水管道</w:t>
            </w:r>
            <w:r>
              <w:rPr>
                <w:rFonts w:ascii="宋体" w:hAnsi="宋体" w:cs="宋体"/>
                <w:kern w:val="0"/>
              </w:rPr>
              <w:t>200</w:t>
            </w:r>
            <w:r>
              <w:rPr>
                <w:rFonts w:hint="eastAsia" w:ascii="宋体" w:hAnsi="宋体" w:cs="宋体"/>
                <w:kern w:val="0"/>
              </w:rPr>
              <w:t>米，提质改造道路</w:t>
            </w:r>
            <w:r>
              <w:rPr>
                <w:rFonts w:ascii="宋体" w:hAnsi="宋体" w:cs="宋体"/>
                <w:kern w:val="0"/>
              </w:rPr>
              <w:t>2000</w:t>
            </w:r>
            <w:r>
              <w:rPr>
                <w:rFonts w:hint="eastAsia" w:ascii="宋体" w:hAnsi="宋体" w:cs="宋体"/>
                <w:kern w:val="0"/>
              </w:rPr>
              <w:t>平方米，强弱电管线改造</w:t>
            </w:r>
            <w:r>
              <w:rPr>
                <w:rFonts w:ascii="宋体" w:hAnsi="宋体" w:cs="宋体"/>
                <w:kern w:val="0"/>
              </w:rPr>
              <w:t>200</w:t>
            </w:r>
            <w:r>
              <w:rPr>
                <w:rFonts w:hint="eastAsia" w:ascii="宋体" w:hAnsi="宋体" w:cs="宋体"/>
                <w:kern w:val="0"/>
              </w:rPr>
              <w:t>米，燃气管道老化改造，亮化，增设环卫设施。</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900</w:t>
            </w:r>
          </w:p>
        </w:tc>
      </w:tr>
      <w:tr>
        <w:tblPrEx>
          <w:tblCellMar>
            <w:top w:w="0" w:type="dxa"/>
            <w:left w:w="108" w:type="dxa"/>
            <w:bottom w:w="0" w:type="dxa"/>
            <w:right w:w="108" w:type="dxa"/>
          </w:tblCellMar>
        </w:tblPrEx>
        <w:trPr>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资阳区中心城区东片区棚改</w:t>
            </w:r>
            <w:r>
              <w:rPr>
                <w:rFonts w:ascii="宋体" w:hAnsi="宋体" w:cs="宋体"/>
                <w:kern w:val="0"/>
              </w:rPr>
              <w:t>(</w:t>
            </w:r>
            <w:r>
              <w:rPr>
                <w:rFonts w:hint="eastAsia" w:ascii="宋体" w:hAnsi="宋体" w:cs="宋体"/>
                <w:kern w:val="0"/>
              </w:rPr>
              <w:t>二期）基础配套设施建设项目（东升小区）</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雨水排水管道</w:t>
            </w:r>
            <w:r>
              <w:rPr>
                <w:rFonts w:ascii="宋体" w:hAnsi="宋体" w:cs="宋体"/>
                <w:kern w:val="0"/>
              </w:rPr>
              <w:t>140</w:t>
            </w:r>
            <w:r>
              <w:rPr>
                <w:rFonts w:hint="eastAsia" w:ascii="宋体" w:hAnsi="宋体" w:cs="宋体"/>
                <w:kern w:val="0"/>
              </w:rPr>
              <w:t>米，污水排水管道</w:t>
            </w:r>
            <w:r>
              <w:rPr>
                <w:rFonts w:ascii="宋体" w:hAnsi="宋体" w:cs="宋体"/>
                <w:kern w:val="0"/>
              </w:rPr>
              <w:t>140</w:t>
            </w:r>
            <w:r>
              <w:rPr>
                <w:rFonts w:hint="eastAsia" w:ascii="宋体" w:hAnsi="宋体" w:cs="宋体"/>
                <w:kern w:val="0"/>
              </w:rPr>
              <w:t>米，提质改造道路</w:t>
            </w:r>
            <w:r>
              <w:rPr>
                <w:rFonts w:ascii="宋体" w:hAnsi="宋体" w:cs="宋体"/>
                <w:kern w:val="0"/>
              </w:rPr>
              <w:t>140</w:t>
            </w:r>
            <w:r>
              <w:rPr>
                <w:rFonts w:hint="eastAsia" w:ascii="宋体" w:hAnsi="宋体" w:cs="宋体"/>
                <w:kern w:val="0"/>
              </w:rPr>
              <w:t>米，强弱电管线改造</w:t>
            </w:r>
            <w:r>
              <w:rPr>
                <w:rFonts w:ascii="宋体" w:hAnsi="宋体" w:cs="宋体"/>
                <w:kern w:val="0"/>
              </w:rPr>
              <w:t>140</w:t>
            </w:r>
            <w:r>
              <w:rPr>
                <w:rFonts w:hint="eastAsia" w:ascii="宋体" w:hAnsi="宋体" w:cs="宋体"/>
                <w:kern w:val="0"/>
              </w:rPr>
              <w:t>米，供水管道更换</w:t>
            </w:r>
            <w:r>
              <w:rPr>
                <w:rFonts w:ascii="宋体" w:hAnsi="宋体" w:cs="宋体"/>
                <w:kern w:val="0"/>
              </w:rPr>
              <w:t>140</w:t>
            </w:r>
            <w:r>
              <w:rPr>
                <w:rFonts w:hint="eastAsia" w:ascii="宋体" w:hAnsi="宋体" w:cs="宋体"/>
                <w:kern w:val="0"/>
              </w:rPr>
              <w:t>米，燃气管道老化改造、亮化、增设路灯。</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580</w:t>
            </w:r>
          </w:p>
        </w:tc>
      </w:tr>
      <w:tr>
        <w:tblPrEx>
          <w:tblCellMar>
            <w:top w:w="0" w:type="dxa"/>
            <w:left w:w="108" w:type="dxa"/>
            <w:bottom w:w="0" w:type="dxa"/>
            <w:right w:w="108" w:type="dxa"/>
          </w:tblCellMar>
        </w:tblPrEx>
        <w:trPr>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3</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w:t>
            </w:r>
            <w:r>
              <w:rPr>
                <w:rFonts w:ascii="宋体" w:hAnsi="宋体" w:cs="宋体"/>
                <w:kern w:val="0"/>
              </w:rPr>
              <w:t>18</w:t>
            </w:r>
            <w:r>
              <w:rPr>
                <w:rFonts w:hint="eastAsia" w:ascii="宋体" w:hAnsi="宋体" w:cs="宋体"/>
                <w:kern w:val="0"/>
              </w:rPr>
              <w:t>号地块棚改基础配套设施建设项目（石码头小学）</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spacing w:val="-6"/>
                <w:kern w:val="0"/>
              </w:rPr>
            </w:pPr>
            <w:r>
              <w:rPr>
                <w:rFonts w:hint="eastAsia" w:ascii="宋体" w:hAnsi="宋体" w:cs="宋体"/>
                <w:spacing w:val="-6"/>
                <w:kern w:val="0"/>
              </w:rPr>
              <w:t>新建雨水排水管道</w:t>
            </w:r>
            <w:r>
              <w:rPr>
                <w:rFonts w:ascii="宋体" w:hAnsi="宋体" w:cs="宋体"/>
                <w:spacing w:val="-6"/>
                <w:kern w:val="0"/>
              </w:rPr>
              <w:t>400</w:t>
            </w:r>
            <w:r>
              <w:rPr>
                <w:rFonts w:hint="eastAsia" w:ascii="宋体" w:hAnsi="宋体" w:cs="宋体"/>
                <w:spacing w:val="-6"/>
                <w:kern w:val="0"/>
              </w:rPr>
              <w:t>米，污水排水管道</w:t>
            </w:r>
            <w:r>
              <w:rPr>
                <w:rFonts w:ascii="宋体" w:hAnsi="宋体" w:cs="宋体"/>
                <w:spacing w:val="-6"/>
                <w:kern w:val="0"/>
              </w:rPr>
              <w:t>400</w:t>
            </w:r>
            <w:r>
              <w:rPr>
                <w:rFonts w:hint="eastAsia" w:ascii="宋体" w:hAnsi="宋体" w:cs="宋体"/>
                <w:spacing w:val="-6"/>
                <w:kern w:val="0"/>
              </w:rPr>
              <w:t>米，供水管网</w:t>
            </w:r>
            <w:r>
              <w:rPr>
                <w:rFonts w:ascii="宋体" w:hAnsi="宋体" w:cs="宋体"/>
                <w:spacing w:val="-6"/>
                <w:kern w:val="0"/>
              </w:rPr>
              <w:t>400</w:t>
            </w:r>
            <w:r>
              <w:rPr>
                <w:rFonts w:hint="eastAsia" w:ascii="宋体" w:hAnsi="宋体" w:cs="宋体"/>
                <w:spacing w:val="-6"/>
                <w:kern w:val="0"/>
              </w:rPr>
              <w:t>米，路面硬化，强弱电管线改造</w:t>
            </w:r>
            <w:r>
              <w:rPr>
                <w:rFonts w:ascii="宋体" w:hAnsi="宋体" w:cs="宋体"/>
                <w:spacing w:val="-6"/>
                <w:kern w:val="0"/>
              </w:rPr>
              <w:t>160</w:t>
            </w:r>
            <w:r>
              <w:rPr>
                <w:rFonts w:hint="eastAsia" w:ascii="宋体" w:hAnsi="宋体" w:cs="宋体"/>
                <w:spacing w:val="-6"/>
                <w:kern w:val="0"/>
              </w:rPr>
              <w:t>米，燃气管道老化改造、亮化。</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改建</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2022-2024</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860</w:t>
            </w:r>
          </w:p>
        </w:tc>
      </w:tr>
      <w:tr>
        <w:tblPrEx>
          <w:tblCellMar>
            <w:top w:w="0" w:type="dxa"/>
            <w:left w:w="108" w:type="dxa"/>
            <w:bottom w:w="0" w:type="dxa"/>
            <w:right w:w="108" w:type="dxa"/>
          </w:tblCellMar>
        </w:tblPrEx>
        <w:trPr>
          <w:trHeight w:val="362"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资阳区七公庙棚改项目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对资阳区七公庙棚户区</w:t>
            </w:r>
            <w:r>
              <w:rPr>
                <w:rFonts w:ascii="宋体" w:hAnsi="宋体" w:cs="宋体"/>
                <w:kern w:val="0"/>
              </w:rPr>
              <w:t>286</w:t>
            </w:r>
            <w:r>
              <w:rPr>
                <w:rFonts w:hint="eastAsia" w:ascii="宋体" w:hAnsi="宋体" w:cs="宋体"/>
                <w:kern w:val="0"/>
              </w:rPr>
              <w:t>户住户进行拆迁安置。</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货币安置</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11350</w:t>
            </w:r>
          </w:p>
        </w:tc>
      </w:tr>
      <w:tr>
        <w:tblPrEx>
          <w:tblCellMar>
            <w:top w:w="0" w:type="dxa"/>
            <w:left w:w="108" w:type="dxa"/>
            <w:bottom w:w="0" w:type="dxa"/>
            <w:right w:w="108" w:type="dxa"/>
          </w:tblCellMar>
        </w:tblPrEx>
        <w:trPr>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5</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资阳区药皇宫棚改项目</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对资阳区药皇宫棚户区</w:t>
            </w:r>
            <w:r>
              <w:rPr>
                <w:rFonts w:ascii="宋体" w:hAnsi="宋体" w:cs="宋体"/>
                <w:kern w:val="0"/>
              </w:rPr>
              <w:t>424</w:t>
            </w:r>
            <w:r>
              <w:rPr>
                <w:rFonts w:hint="eastAsia" w:ascii="宋体" w:hAnsi="宋体" w:cs="宋体"/>
                <w:kern w:val="0"/>
              </w:rPr>
              <w:t>户住户进行拆迁安置。</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货币安置</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19080</w:t>
            </w:r>
          </w:p>
        </w:tc>
      </w:tr>
      <w:tr>
        <w:tblPrEx>
          <w:tblCellMar>
            <w:top w:w="0" w:type="dxa"/>
            <w:left w:w="108" w:type="dxa"/>
            <w:bottom w:w="0" w:type="dxa"/>
            <w:right w:w="108" w:type="dxa"/>
          </w:tblCellMar>
        </w:tblPrEx>
        <w:trPr>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6</w:t>
            </w:r>
          </w:p>
        </w:tc>
        <w:tc>
          <w:tcPr>
            <w:tcW w:w="310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资阳区中心城区东片区棚改项目（一期）</w:t>
            </w:r>
          </w:p>
        </w:tc>
        <w:tc>
          <w:tcPr>
            <w:tcW w:w="61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kern w:val="0"/>
              </w:rPr>
            </w:pPr>
            <w:r>
              <w:rPr>
                <w:rFonts w:hint="eastAsia" w:ascii="宋体" w:hAnsi="宋体" w:cs="宋体"/>
                <w:kern w:val="0"/>
              </w:rPr>
              <w:t>对资阳区中心城区东片区棚户区</w:t>
            </w:r>
            <w:r>
              <w:rPr>
                <w:rFonts w:ascii="宋体" w:hAnsi="宋体" w:cs="宋体"/>
                <w:kern w:val="0"/>
              </w:rPr>
              <w:t>105</w:t>
            </w:r>
            <w:r>
              <w:rPr>
                <w:rFonts w:hint="eastAsia" w:ascii="宋体" w:hAnsi="宋体" w:cs="宋体"/>
                <w:kern w:val="0"/>
              </w:rPr>
              <w:t>户住户进行拆迁安置。</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hint="eastAsia" w:ascii="宋体" w:hAnsi="宋体" w:cs="宋体"/>
                <w:kern w:val="0"/>
              </w:rPr>
              <w:t>货币安置</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2021-2025</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4085</w:t>
            </w:r>
          </w:p>
        </w:tc>
      </w:tr>
      <w:tr>
        <w:tblPrEx>
          <w:tblCellMar>
            <w:top w:w="0" w:type="dxa"/>
            <w:left w:w="108" w:type="dxa"/>
            <w:bottom w:w="0" w:type="dxa"/>
            <w:right w:w="108" w:type="dxa"/>
          </w:tblCellMar>
        </w:tblPrEx>
        <w:trPr>
          <w:trHeight w:val="432" w:hRule="atLeast"/>
          <w:jc w:val="center"/>
        </w:trPr>
        <w:tc>
          <w:tcPr>
            <w:tcW w:w="1260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kern w:val="0"/>
              </w:rPr>
            </w:pPr>
            <w:r>
              <w:rPr>
                <w:rFonts w:hint="eastAsia" w:ascii="宋体" w:hAnsi="宋体" w:cs="宋体"/>
                <w:kern w:val="0"/>
              </w:rPr>
              <w:t>合计</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rPr>
            </w:pPr>
            <w:r>
              <w:rPr>
                <w:rFonts w:ascii="宋体" w:hAnsi="宋体" w:cs="宋体"/>
                <w:kern w:val="0"/>
              </w:rPr>
              <w:t>1195785.08</w:t>
            </w:r>
          </w:p>
        </w:tc>
      </w:tr>
      <w:bookmarkEnd w:id="67"/>
    </w:tbl>
    <w:p>
      <w:pPr>
        <w:pStyle w:val="2"/>
        <w:spacing w:line="20" w:lineRule="exact"/>
        <w:sectPr>
          <w:pgSz w:w="16838" w:h="11906" w:orient="landscape"/>
          <w:pgMar w:top="1588" w:right="1474" w:bottom="1588" w:left="1474" w:header="851" w:footer="992" w:gutter="0"/>
          <w:pgNumType w:fmt="numberInDash"/>
          <w:cols w:space="425" w:num="1"/>
          <w:docGrid w:type="lines" w:linePitch="312" w:charSpace="0"/>
        </w:sectPr>
      </w:pPr>
    </w:p>
    <w:p>
      <w:pPr>
        <w:pStyle w:val="2"/>
        <w:spacing w:line="20" w:lineRule="exact"/>
      </w:pPr>
    </w:p>
    <w:p>
      <w:pPr>
        <w:pStyle w:val="2"/>
        <w:spacing w:line="20" w:lineRule="exact"/>
      </w:pPr>
      <w:bookmarkStart w:id="68" w:name="_GoBack"/>
    </w:p>
    <w:bookmarkEnd w:id="68"/>
    <w:sectPr>
      <w:pgSz w:w="11906" w:h="16838"/>
      <w:pgMar w:top="1701" w:right="1588" w:bottom="1701"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ind w:left="210" w:leftChars="100" w:right="210" w:rightChars="100"/>
      <w:rPr>
        <w:rStyle w:val="14"/>
        <w:rFonts w:ascii="宋体"/>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- 4 -</w:t>
    </w:r>
    <w:r>
      <w:rPr>
        <w:rStyle w:val="14"/>
        <w:rFonts w:ascii="宋体" w:hAnsi="宋体" w:cs="宋体"/>
        <w:sz w:val="28"/>
        <w:szCs w:val="28"/>
      </w:rPr>
      <w:fldChar w:fldCharType="end"/>
    </w:r>
  </w:p>
  <w:p>
    <w:pPr>
      <w:pStyle w:val="7"/>
      <w:tabs>
        <w:tab w:val="left" w:pos="2901"/>
        <w:tab w:val="clear" w:pos="4153"/>
      </w:tabs>
      <w:ind w:right="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293672E8"/>
    <w:rsid w:val="00027ECE"/>
    <w:rsid w:val="00063D4D"/>
    <w:rsid w:val="000805FF"/>
    <w:rsid w:val="000934C4"/>
    <w:rsid w:val="000A0721"/>
    <w:rsid w:val="000B3C3E"/>
    <w:rsid w:val="000C5F9E"/>
    <w:rsid w:val="0014184C"/>
    <w:rsid w:val="00151AFD"/>
    <w:rsid w:val="0015734C"/>
    <w:rsid w:val="00166A0E"/>
    <w:rsid w:val="002128A0"/>
    <w:rsid w:val="002E6982"/>
    <w:rsid w:val="00311A5F"/>
    <w:rsid w:val="0035457C"/>
    <w:rsid w:val="00360955"/>
    <w:rsid w:val="00360C90"/>
    <w:rsid w:val="003F28E3"/>
    <w:rsid w:val="003F417C"/>
    <w:rsid w:val="0040390F"/>
    <w:rsid w:val="004578B0"/>
    <w:rsid w:val="004613B3"/>
    <w:rsid w:val="00467216"/>
    <w:rsid w:val="00496AD2"/>
    <w:rsid w:val="00564335"/>
    <w:rsid w:val="005832A1"/>
    <w:rsid w:val="00591409"/>
    <w:rsid w:val="00632384"/>
    <w:rsid w:val="00656455"/>
    <w:rsid w:val="006E03A7"/>
    <w:rsid w:val="006F4FCD"/>
    <w:rsid w:val="00727EED"/>
    <w:rsid w:val="00826E5C"/>
    <w:rsid w:val="008607CE"/>
    <w:rsid w:val="008E5648"/>
    <w:rsid w:val="008F3C41"/>
    <w:rsid w:val="00920ABF"/>
    <w:rsid w:val="00937DB8"/>
    <w:rsid w:val="009638C0"/>
    <w:rsid w:val="0099584E"/>
    <w:rsid w:val="009B20B8"/>
    <w:rsid w:val="009D3BA9"/>
    <w:rsid w:val="00A10F51"/>
    <w:rsid w:val="00A53C99"/>
    <w:rsid w:val="00A60A1F"/>
    <w:rsid w:val="00A725BA"/>
    <w:rsid w:val="00A93903"/>
    <w:rsid w:val="00A967FD"/>
    <w:rsid w:val="00AC757A"/>
    <w:rsid w:val="00AF4F56"/>
    <w:rsid w:val="00B019A2"/>
    <w:rsid w:val="00B14AF2"/>
    <w:rsid w:val="00B17548"/>
    <w:rsid w:val="00B37B6E"/>
    <w:rsid w:val="00B4323D"/>
    <w:rsid w:val="00B455EC"/>
    <w:rsid w:val="00B558FE"/>
    <w:rsid w:val="00B826B0"/>
    <w:rsid w:val="00BE4898"/>
    <w:rsid w:val="00C745BE"/>
    <w:rsid w:val="00C94F90"/>
    <w:rsid w:val="00D04C25"/>
    <w:rsid w:val="00D86A20"/>
    <w:rsid w:val="00DD1E10"/>
    <w:rsid w:val="00E21FB4"/>
    <w:rsid w:val="00E42513"/>
    <w:rsid w:val="00E6235B"/>
    <w:rsid w:val="00EB0C38"/>
    <w:rsid w:val="00EC4683"/>
    <w:rsid w:val="00EF671C"/>
    <w:rsid w:val="00F10CF3"/>
    <w:rsid w:val="00F20E80"/>
    <w:rsid w:val="012A4E2C"/>
    <w:rsid w:val="01341807"/>
    <w:rsid w:val="01396E1E"/>
    <w:rsid w:val="01A504B4"/>
    <w:rsid w:val="01B12E58"/>
    <w:rsid w:val="01E04F6F"/>
    <w:rsid w:val="02353A89"/>
    <w:rsid w:val="02B726F0"/>
    <w:rsid w:val="030F1162"/>
    <w:rsid w:val="032B09E8"/>
    <w:rsid w:val="032D650E"/>
    <w:rsid w:val="035864B6"/>
    <w:rsid w:val="039E1A17"/>
    <w:rsid w:val="03D109BB"/>
    <w:rsid w:val="0448745D"/>
    <w:rsid w:val="045A1585"/>
    <w:rsid w:val="049031F8"/>
    <w:rsid w:val="04B52C5F"/>
    <w:rsid w:val="04C82992"/>
    <w:rsid w:val="04CD7FA9"/>
    <w:rsid w:val="04CE4B2B"/>
    <w:rsid w:val="0512481D"/>
    <w:rsid w:val="051437FD"/>
    <w:rsid w:val="057C19CF"/>
    <w:rsid w:val="059D3E1F"/>
    <w:rsid w:val="05D34D74"/>
    <w:rsid w:val="060325D9"/>
    <w:rsid w:val="062E6EC4"/>
    <w:rsid w:val="062F07EF"/>
    <w:rsid w:val="06593243"/>
    <w:rsid w:val="06677F89"/>
    <w:rsid w:val="06976AC0"/>
    <w:rsid w:val="06C87BE3"/>
    <w:rsid w:val="06FA704F"/>
    <w:rsid w:val="0749768F"/>
    <w:rsid w:val="07DB0C2F"/>
    <w:rsid w:val="082D0D5E"/>
    <w:rsid w:val="089D0200"/>
    <w:rsid w:val="08A600C2"/>
    <w:rsid w:val="090E6DE2"/>
    <w:rsid w:val="091270F8"/>
    <w:rsid w:val="093A1985"/>
    <w:rsid w:val="09842C00"/>
    <w:rsid w:val="09F14739"/>
    <w:rsid w:val="0A2A19F9"/>
    <w:rsid w:val="0AA06F30"/>
    <w:rsid w:val="0AAD4F76"/>
    <w:rsid w:val="0ACC0D02"/>
    <w:rsid w:val="0B7A42BB"/>
    <w:rsid w:val="0B882E7B"/>
    <w:rsid w:val="0BF56037"/>
    <w:rsid w:val="0CBB2DDD"/>
    <w:rsid w:val="0CC31C91"/>
    <w:rsid w:val="0CD914B5"/>
    <w:rsid w:val="0D2D0566"/>
    <w:rsid w:val="0D3D2C9A"/>
    <w:rsid w:val="0DB6446C"/>
    <w:rsid w:val="0DD8176C"/>
    <w:rsid w:val="0E1851DD"/>
    <w:rsid w:val="0E246510"/>
    <w:rsid w:val="0E6D1EAB"/>
    <w:rsid w:val="0E9F0051"/>
    <w:rsid w:val="0F136F00"/>
    <w:rsid w:val="0F1F5D01"/>
    <w:rsid w:val="0F8E6586"/>
    <w:rsid w:val="0FBD51C1"/>
    <w:rsid w:val="103B4960"/>
    <w:rsid w:val="105C6685"/>
    <w:rsid w:val="106E212C"/>
    <w:rsid w:val="10B14C22"/>
    <w:rsid w:val="110A4333"/>
    <w:rsid w:val="111F7DDE"/>
    <w:rsid w:val="11276C93"/>
    <w:rsid w:val="115A0ECD"/>
    <w:rsid w:val="115A7068"/>
    <w:rsid w:val="11BE3BF1"/>
    <w:rsid w:val="12173DBF"/>
    <w:rsid w:val="12266EFD"/>
    <w:rsid w:val="12B26A30"/>
    <w:rsid w:val="12E50BB3"/>
    <w:rsid w:val="12EA7F78"/>
    <w:rsid w:val="132A0CBC"/>
    <w:rsid w:val="134E6759"/>
    <w:rsid w:val="13BA3DEE"/>
    <w:rsid w:val="13FF7A53"/>
    <w:rsid w:val="1415204F"/>
    <w:rsid w:val="142F2C24"/>
    <w:rsid w:val="147237C0"/>
    <w:rsid w:val="14930823"/>
    <w:rsid w:val="14B86179"/>
    <w:rsid w:val="14CE7BA3"/>
    <w:rsid w:val="154C316C"/>
    <w:rsid w:val="15785D0F"/>
    <w:rsid w:val="159B7C4F"/>
    <w:rsid w:val="160E7D98"/>
    <w:rsid w:val="161B3C74"/>
    <w:rsid w:val="16290DB7"/>
    <w:rsid w:val="16A74690"/>
    <w:rsid w:val="16CC787C"/>
    <w:rsid w:val="16D01B7A"/>
    <w:rsid w:val="171657DF"/>
    <w:rsid w:val="171C6B6E"/>
    <w:rsid w:val="17555BDC"/>
    <w:rsid w:val="176A78D9"/>
    <w:rsid w:val="17872239"/>
    <w:rsid w:val="17CF1E32"/>
    <w:rsid w:val="181F1A4D"/>
    <w:rsid w:val="182A0E16"/>
    <w:rsid w:val="18812F99"/>
    <w:rsid w:val="18AE37F5"/>
    <w:rsid w:val="18C63235"/>
    <w:rsid w:val="18CA584D"/>
    <w:rsid w:val="190E24E6"/>
    <w:rsid w:val="194B54E8"/>
    <w:rsid w:val="195720DF"/>
    <w:rsid w:val="19E219A9"/>
    <w:rsid w:val="19EC6CCB"/>
    <w:rsid w:val="1A1B135F"/>
    <w:rsid w:val="1A46462D"/>
    <w:rsid w:val="1A4A39F2"/>
    <w:rsid w:val="1A8E7D82"/>
    <w:rsid w:val="1AA26E91"/>
    <w:rsid w:val="1AFF2A2E"/>
    <w:rsid w:val="1B267FBB"/>
    <w:rsid w:val="1C0F156B"/>
    <w:rsid w:val="1C261B34"/>
    <w:rsid w:val="1C454471"/>
    <w:rsid w:val="1C7F545B"/>
    <w:rsid w:val="1CB23C8F"/>
    <w:rsid w:val="1DA022A7"/>
    <w:rsid w:val="1DEC126E"/>
    <w:rsid w:val="1E0C5E49"/>
    <w:rsid w:val="1E8B6184"/>
    <w:rsid w:val="1F0B3750"/>
    <w:rsid w:val="1F8B4890"/>
    <w:rsid w:val="1FB718E4"/>
    <w:rsid w:val="202155D5"/>
    <w:rsid w:val="20344F28"/>
    <w:rsid w:val="20444872"/>
    <w:rsid w:val="208E5FE5"/>
    <w:rsid w:val="20A91FFF"/>
    <w:rsid w:val="210743EB"/>
    <w:rsid w:val="214B42D7"/>
    <w:rsid w:val="2234120F"/>
    <w:rsid w:val="227B0BEC"/>
    <w:rsid w:val="22842994"/>
    <w:rsid w:val="23175EE5"/>
    <w:rsid w:val="2358717F"/>
    <w:rsid w:val="2392443F"/>
    <w:rsid w:val="23CD2263"/>
    <w:rsid w:val="23FA334A"/>
    <w:rsid w:val="24B13F49"/>
    <w:rsid w:val="24D9609E"/>
    <w:rsid w:val="25292B82"/>
    <w:rsid w:val="253357AE"/>
    <w:rsid w:val="2555349A"/>
    <w:rsid w:val="257C53A7"/>
    <w:rsid w:val="25DF5936"/>
    <w:rsid w:val="25F413E1"/>
    <w:rsid w:val="25FE400E"/>
    <w:rsid w:val="261750D0"/>
    <w:rsid w:val="262801B7"/>
    <w:rsid w:val="266D6A9E"/>
    <w:rsid w:val="26CF1507"/>
    <w:rsid w:val="278836B6"/>
    <w:rsid w:val="27D25752"/>
    <w:rsid w:val="27E234BC"/>
    <w:rsid w:val="285A5748"/>
    <w:rsid w:val="28751916"/>
    <w:rsid w:val="290F6532"/>
    <w:rsid w:val="293672E8"/>
    <w:rsid w:val="295201CD"/>
    <w:rsid w:val="29583A35"/>
    <w:rsid w:val="29736AC1"/>
    <w:rsid w:val="29856BAA"/>
    <w:rsid w:val="29A22F02"/>
    <w:rsid w:val="29F2437D"/>
    <w:rsid w:val="2A30050E"/>
    <w:rsid w:val="2A4D10C0"/>
    <w:rsid w:val="2A572B9E"/>
    <w:rsid w:val="2A693A20"/>
    <w:rsid w:val="2A720567"/>
    <w:rsid w:val="2AA94171"/>
    <w:rsid w:val="2AF1436E"/>
    <w:rsid w:val="2B3D1B34"/>
    <w:rsid w:val="2B4E5740"/>
    <w:rsid w:val="2B9B22FF"/>
    <w:rsid w:val="2BC96E6C"/>
    <w:rsid w:val="2C1665B8"/>
    <w:rsid w:val="2C2C73FB"/>
    <w:rsid w:val="2CE13D42"/>
    <w:rsid w:val="2D1278E5"/>
    <w:rsid w:val="2D4212AA"/>
    <w:rsid w:val="2DA13B29"/>
    <w:rsid w:val="2DB11400"/>
    <w:rsid w:val="2DB912A8"/>
    <w:rsid w:val="2DB96A6D"/>
    <w:rsid w:val="2E6966E5"/>
    <w:rsid w:val="2EA463DF"/>
    <w:rsid w:val="2EB57234"/>
    <w:rsid w:val="2F352B2C"/>
    <w:rsid w:val="2F566C69"/>
    <w:rsid w:val="2F8F13E3"/>
    <w:rsid w:val="30085A89"/>
    <w:rsid w:val="30313232"/>
    <w:rsid w:val="30696528"/>
    <w:rsid w:val="30D90424"/>
    <w:rsid w:val="3123750E"/>
    <w:rsid w:val="31267A3D"/>
    <w:rsid w:val="314174A5"/>
    <w:rsid w:val="315216B2"/>
    <w:rsid w:val="31992E3D"/>
    <w:rsid w:val="31B639EF"/>
    <w:rsid w:val="31F14A27"/>
    <w:rsid w:val="3217028C"/>
    <w:rsid w:val="323C2873"/>
    <w:rsid w:val="32821B23"/>
    <w:rsid w:val="32AE7C54"/>
    <w:rsid w:val="330B1B18"/>
    <w:rsid w:val="33462B51"/>
    <w:rsid w:val="33EA7980"/>
    <w:rsid w:val="34597A09"/>
    <w:rsid w:val="34851337"/>
    <w:rsid w:val="349A75F8"/>
    <w:rsid w:val="34B31C37"/>
    <w:rsid w:val="34FB5BBD"/>
    <w:rsid w:val="350B4052"/>
    <w:rsid w:val="35845BB2"/>
    <w:rsid w:val="35951B6D"/>
    <w:rsid w:val="359978AF"/>
    <w:rsid w:val="35C30488"/>
    <w:rsid w:val="35D46B3A"/>
    <w:rsid w:val="35D94150"/>
    <w:rsid w:val="35FA7C22"/>
    <w:rsid w:val="36C070BE"/>
    <w:rsid w:val="372C02AF"/>
    <w:rsid w:val="37677539"/>
    <w:rsid w:val="377C4D93"/>
    <w:rsid w:val="37951375"/>
    <w:rsid w:val="381C351B"/>
    <w:rsid w:val="381E22EE"/>
    <w:rsid w:val="382C6831"/>
    <w:rsid w:val="3872263A"/>
    <w:rsid w:val="38BF587F"/>
    <w:rsid w:val="38E2331B"/>
    <w:rsid w:val="38F35529"/>
    <w:rsid w:val="38F87E56"/>
    <w:rsid w:val="395425BD"/>
    <w:rsid w:val="39822409"/>
    <w:rsid w:val="39934616"/>
    <w:rsid w:val="399B34CA"/>
    <w:rsid w:val="39BB0ED9"/>
    <w:rsid w:val="39D72754"/>
    <w:rsid w:val="39EC3D26"/>
    <w:rsid w:val="39F17060"/>
    <w:rsid w:val="3A325BDD"/>
    <w:rsid w:val="3AB40CE8"/>
    <w:rsid w:val="3AC151B3"/>
    <w:rsid w:val="3AED19A4"/>
    <w:rsid w:val="3AFE01B5"/>
    <w:rsid w:val="3B160618"/>
    <w:rsid w:val="3B304812"/>
    <w:rsid w:val="3B911029"/>
    <w:rsid w:val="3BE50B27"/>
    <w:rsid w:val="3BE623F8"/>
    <w:rsid w:val="3C292F3A"/>
    <w:rsid w:val="3C5C33E5"/>
    <w:rsid w:val="3CF4025B"/>
    <w:rsid w:val="3D1578E3"/>
    <w:rsid w:val="3D1E68EC"/>
    <w:rsid w:val="3DA23079"/>
    <w:rsid w:val="3DAC3EF8"/>
    <w:rsid w:val="3E157CEF"/>
    <w:rsid w:val="3E2059B4"/>
    <w:rsid w:val="3EEC352D"/>
    <w:rsid w:val="3F2E7F5F"/>
    <w:rsid w:val="40302BBE"/>
    <w:rsid w:val="408E3D89"/>
    <w:rsid w:val="40B01F51"/>
    <w:rsid w:val="40BF5E63"/>
    <w:rsid w:val="41232723"/>
    <w:rsid w:val="41923405"/>
    <w:rsid w:val="419C0846"/>
    <w:rsid w:val="41C37A62"/>
    <w:rsid w:val="42BD2703"/>
    <w:rsid w:val="43211868"/>
    <w:rsid w:val="436B215F"/>
    <w:rsid w:val="43CF26EE"/>
    <w:rsid w:val="43D84E8C"/>
    <w:rsid w:val="442962A2"/>
    <w:rsid w:val="44782D86"/>
    <w:rsid w:val="44A616A1"/>
    <w:rsid w:val="4513485D"/>
    <w:rsid w:val="455A4481"/>
    <w:rsid w:val="45BE2A1A"/>
    <w:rsid w:val="45C75D73"/>
    <w:rsid w:val="45D264C6"/>
    <w:rsid w:val="45E23A9D"/>
    <w:rsid w:val="45E2495B"/>
    <w:rsid w:val="45EC343C"/>
    <w:rsid w:val="46006015"/>
    <w:rsid w:val="46D5626E"/>
    <w:rsid w:val="476B6BD2"/>
    <w:rsid w:val="47705F96"/>
    <w:rsid w:val="484A3E0B"/>
    <w:rsid w:val="485F58CB"/>
    <w:rsid w:val="486232A8"/>
    <w:rsid w:val="48965ED0"/>
    <w:rsid w:val="4981153F"/>
    <w:rsid w:val="4997637F"/>
    <w:rsid w:val="49C6028D"/>
    <w:rsid w:val="49D547D7"/>
    <w:rsid w:val="49DE18DD"/>
    <w:rsid w:val="49FE5ADB"/>
    <w:rsid w:val="4A49144C"/>
    <w:rsid w:val="4AEE5B50"/>
    <w:rsid w:val="4AF07B1A"/>
    <w:rsid w:val="4B0A55CE"/>
    <w:rsid w:val="4B1D6283"/>
    <w:rsid w:val="4BCD1C09"/>
    <w:rsid w:val="4BCD7E5B"/>
    <w:rsid w:val="4BF322EE"/>
    <w:rsid w:val="4C251A45"/>
    <w:rsid w:val="4C383728"/>
    <w:rsid w:val="4C3C05FF"/>
    <w:rsid w:val="4C465518"/>
    <w:rsid w:val="4C6B4F7E"/>
    <w:rsid w:val="4CA35CE3"/>
    <w:rsid w:val="4CA94424"/>
    <w:rsid w:val="4D762782"/>
    <w:rsid w:val="4DB02436"/>
    <w:rsid w:val="4E9B5FEF"/>
    <w:rsid w:val="4F557B91"/>
    <w:rsid w:val="4FA827C9"/>
    <w:rsid w:val="4FDF015D"/>
    <w:rsid w:val="50096F88"/>
    <w:rsid w:val="504601DC"/>
    <w:rsid w:val="504678B2"/>
    <w:rsid w:val="507C1E50"/>
    <w:rsid w:val="509F5821"/>
    <w:rsid w:val="50DD197E"/>
    <w:rsid w:val="51143E36"/>
    <w:rsid w:val="51782617"/>
    <w:rsid w:val="51B0045E"/>
    <w:rsid w:val="5217598C"/>
    <w:rsid w:val="52F821F5"/>
    <w:rsid w:val="53226CDE"/>
    <w:rsid w:val="534A7FE3"/>
    <w:rsid w:val="539F3E8B"/>
    <w:rsid w:val="53AB0A82"/>
    <w:rsid w:val="53E915AA"/>
    <w:rsid w:val="54192D26"/>
    <w:rsid w:val="5449029B"/>
    <w:rsid w:val="546D5D37"/>
    <w:rsid w:val="54745F93"/>
    <w:rsid w:val="54901A26"/>
    <w:rsid w:val="54EA382C"/>
    <w:rsid w:val="558E2409"/>
    <w:rsid w:val="55C44435"/>
    <w:rsid w:val="55E53FF3"/>
    <w:rsid w:val="56064695"/>
    <w:rsid w:val="56222B52"/>
    <w:rsid w:val="562468CA"/>
    <w:rsid w:val="56625644"/>
    <w:rsid w:val="567671BE"/>
    <w:rsid w:val="567C04B4"/>
    <w:rsid w:val="56B8645B"/>
    <w:rsid w:val="56E9397A"/>
    <w:rsid w:val="57684EDC"/>
    <w:rsid w:val="576A0C54"/>
    <w:rsid w:val="579D6934"/>
    <w:rsid w:val="58022C3B"/>
    <w:rsid w:val="580E7831"/>
    <w:rsid w:val="583E387C"/>
    <w:rsid w:val="583F79EB"/>
    <w:rsid w:val="58615BB3"/>
    <w:rsid w:val="58883D79"/>
    <w:rsid w:val="58A14202"/>
    <w:rsid w:val="58AE2DC2"/>
    <w:rsid w:val="58B71A9E"/>
    <w:rsid w:val="595C281E"/>
    <w:rsid w:val="597436C4"/>
    <w:rsid w:val="5A146C55"/>
    <w:rsid w:val="5A767910"/>
    <w:rsid w:val="5AA77AC9"/>
    <w:rsid w:val="5ADF1011"/>
    <w:rsid w:val="5AF820D3"/>
    <w:rsid w:val="5B0D2022"/>
    <w:rsid w:val="5B57504B"/>
    <w:rsid w:val="5B7E05D3"/>
    <w:rsid w:val="5BA069F2"/>
    <w:rsid w:val="5C0056E3"/>
    <w:rsid w:val="5C182A2D"/>
    <w:rsid w:val="5C3A0341"/>
    <w:rsid w:val="5C5D2B35"/>
    <w:rsid w:val="5C7878F3"/>
    <w:rsid w:val="5C7D31D8"/>
    <w:rsid w:val="5C983B6D"/>
    <w:rsid w:val="5CEC0F1D"/>
    <w:rsid w:val="5E8A2BC8"/>
    <w:rsid w:val="5EBA487A"/>
    <w:rsid w:val="5EBB7FE7"/>
    <w:rsid w:val="5F0E6369"/>
    <w:rsid w:val="5FA50551"/>
    <w:rsid w:val="5FC4513D"/>
    <w:rsid w:val="5FC518D0"/>
    <w:rsid w:val="600734E4"/>
    <w:rsid w:val="6017124D"/>
    <w:rsid w:val="606F72DB"/>
    <w:rsid w:val="60A2320D"/>
    <w:rsid w:val="61375E46"/>
    <w:rsid w:val="616404C2"/>
    <w:rsid w:val="61820F5D"/>
    <w:rsid w:val="619A2136"/>
    <w:rsid w:val="61AB60F1"/>
    <w:rsid w:val="61D513C0"/>
    <w:rsid w:val="61EA6C19"/>
    <w:rsid w:val="62053A53"/>
    <w:rsid w:val="62062DD4"/>
    <w:rsid w:val="62782477"/>
    <w:rsid w:val="6280757E"/>
    <w:rsid w:val="629923ED"/>
    <w:rsid w:val="63152B80"/>
    <w:rsid w:val="63536A40"/>
    <w:rsid w:val="63982E3E"/>
    <w:rsid w:val="63B32F36"/>
    <w:rsid w:val="63ED4817"/>
    <w:rsid w:val="641461CF"/>
    <w:rsid w:val="645E744B"/>
    <w:rsid w:val="646F5BCF"/>
    <w:rsid w:val="6470083F"/>
    <w:rsid w:val="647E189B"/>
    <w:rsid w:val="64C5205A"/>
    <w:rsid w:val="657F3B1C"/>
    <w:rsid w:val="659F7D1B"/>
    <w:rsid w:val="65CC6636"/>
    <w:rsid w:val="65F91B21"/>
    <w:rsid w:val="66171FA7"/>
    <w:rsid w:val="663F14FE"/>
    <w:rsid w:val="666F0648"/>
    <w:rsid w:val="667271DD"/>
    <w:rsid w:val="66D165FA"/>
    <w:rsid w:val="673821D5"/>
    <w:rsid w:val="674E19F8"/>
    <w:rsid w:val="6761424A"/>
    <w:rsid w:val="67FA56DC"/>
    <w:rsid w:val="6817003C"/>
    <w:rsid w:val="68896A60"/>
    <w:rsid w:val="68B22C84"/>
    <w:rsid w:val="68F80968"/>
    <w:rsid w:val="690507DD"/>
    <w:rsid w:val="69C064B2"/>
    <w:rsid w:val="69E93C5A"/>
    <w:rsid w:val="6A113E93"/>
    <w:rsid w:val="6A8B4D12"/>
    <w:rsid w:val="6A99742E"/>
    <w:rsid w:val="6AA14535"/>
    <w:rsid w:val="6B811C71"/>
    <w:rsid w:val="6BD07E2C"/>
    <w:rsid w:val="6C054650"/>
    <w:rsid w:val="6C730B9C"/>
    <w:rsid w:val="6C97799E"/>
    <w:rsid w:val="6CED29D8"/>
    <w:rsid w:val="6D3C748D"/>
    <w:rsid w:val="6D9B526C"/>
    <w:rsid w:val="6D9E2FAE"/>
    <w:rsid w:val="6DE50BDD"/>
    <w:rsid w:val="6E104701"/>
    <w:rsid w:val="6E4C468D"/>
    <w:rsid w:val="6EAD54D5"/>
    <w:rsid w:val="6EAE7221"/>
    <w:rsid w:val="6EF85C4A"/>
    <w:rsid w:val="6F082DD5"/>
    <w:rsid w:val="6F321C00"/>
    <w:rsid w:val="6F466928"/>
    <w:rsid w:val="6F724FB9"/>
    <w:rsid w:val="6FD63607"/>
    <w:rsid w:val="6FDE2DCD"/>
    <w:rsid w:val="6FEB6742"/>
    <w:rsid w:val="70447E3C"/>
    <w:rsid w:val="70AB3A18"/>
    <w:rsid w:val="717B788E"/>
    <w:rsid w:val="71AB5C99"/>
    <w:rsid w:val="71CA4371"/>
    <w:rsid w:val="71D376CA"/>
    <w:rsid w:val="71DC5E53"/>
    <w:rsid w:val="71F238C8"/>
    <w:rsid w:val="7222773B"/>
    <w:rsid w:val="723B0DCB"/>
    <w:rsid w:val="72E8572E"/>
    <w:rsid w:val="730613D9"/>
    <w:rsid w:val="73117D7E"/>
    <w:rsid w:val="7355410F"/>
    <w:rsid w:val="7358775B"/>
    <w:rsid w:val="73F25E01"/>
    <w:rsid w:val="74AB66DC"/>
    <w:rsid w:val="75137DDD"/>
    <w:rsid w:val="75351DAC"/>
    <w:rsid w:val="757C0A8A"/>
    <w:rsid w:val="75C05614"/>
    <w:rsid w:val="75CD4430"/>
    <w:rsid w:val="76337373"/>
    <w:rsid w:val="763F2271"/>
    <w:rsid w:val="766052A4"/>
    <w:rsid w:val="768E1E11"/>
    <w:rsid w:val="76944F4E"/>
    <w:rsid w:val="76992564"/>
    <w:rsid w:val="76FB6D7B"/>
    <w:rsid w:val="77091498"/>
    <w:rsid w:val="77DA4BE2"/>
    <w:rsid w:val="77E872FF"/>
    <w:rsid w:val="7802237F"/>
    <w:rsid w:val="78BE2756"/>
    <w:rsid w:val="78C31B1A"/>
    <w:rsid w:val="790243F1"/>
    <w:rsid w:val="79256331"/>
    <w:rsid w:val="798B6BAE"/>
    <w:rsid w:val="79936198"/>
    <w:rsid w:val="79A2103A"/>
    <w:rsid w:val="7A4F7B0A"/>
    <w:rsid w:val="7B276391"/>
    <w:rsid w:val="7B5B603A"/>
    <w:rsid w:val="7B82621A"/>
    <w:rsid w:val="7BFC2078"/>
    <w:rsid w:val="7BFF730D"/>
    <w:rsid w:val="7C26783F"/>
    <w:rsid w:val="7C3033B7"/>
    <w:rsid w:val="7C743857"/>
    <w:rsid w:val="7C865339"/>
    <w:rsid w:val="7D407BDD"/>
    <w:rsid w:val="7E05083C"/>
    <w:rsid w:val="7E156974"/>
    <w:rsid w:val="7E5576B9"/>
    <w:rsid w:val="7E955D07"/>
    <w:rsid w:val="7EB42631"/>
    <w:rsid w:val="7EF46ED2"/>
    <w:rsid w:val="7F392DC5"/>
    <w:rsid w:val="7FBA77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style>
  <w:style w:type="paragraph" w:styleId="3">
    <w:name w:val="annotation text"/>
    <w:basedOn w:val="1"/>
    <w:link w:val="16"/>
    <w:semiHidden/>
    <w:qFormat/>
    <w:uiPriority w:val="99"/>
    <w:pPr>
      <w:jc w:val="left"/>
    </w:pPr>
  </w:style>
  <w:style w:type="paragraph" w:styleId="4">
    <w:name w:val="Body Text Indent"/>
    <w:basedOn w:val="1"/>
    <w:link w:val="17"/>
    <w:uiPriority w:val="99"/>
    <w:pPr>
      <w:ind w:firstLine="560"/>
    </w:pPr>
    <w:rPr>
      <w:rFonts w:eastAsia="仿宋_GB2312"/>
      <w:sz w:val="28"/>
      <w:szCs w:val="28"/>
    </w:rPr>
  </w:style>
  <w:style w:type="paragraph" w:styleId="5">
    <w:name w:val="Plain Text"/>
    <w:basedOn w:val="1"/>
    <w:link w:val="34"/>
    <w:qFormat/>
    <w:uiPriority w:val="99"/>
    <w:rPr>
      <w:rFonts w:ascii="宋体" w:hAnsi="Courier New" w:cs="宋体"/>
    </w:r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toc 1"/>
    <w:basedOn w:val="1"/>
    <w:next w:val="1"/>
    <w:semiHidden/>
    <w:qFormat/>
    <w:uiPriority w:val="99"/>
    <w:pPr>
      <w:widowControl/>
      <w:spacing w:line="600" w:lineRule="exact"/>
      <w:ind w:firstLine="643" w:firstLineChars="200"/>
      <w:outlineLvl w:val="1"/>
    </w:pPr>
    <w:rPr>
      <w:rFonts w:ascii="楷体_GB2312" w:hAnsi="楷体" w:eastAsia="楷体_GB2312" w:cs="楷体_GB2312"/>
      <w:b/>
      <w:bCs/>
      <w:color w:val="000000"/>
      <w:sz w:val="32"/>
      <w:szCs w:val="32"/>
    </w:rPr>
  </w:style>
  <w:style w:type="paragraph" w:styleId="10">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1">
    <w:name w:val="Body Text First Indent 2"/>
    <w:basedOn w:val="4"/>
    <w:link w:val="21"/>
    <w:uiPriority w:val="99"/>
    <w:pPr>
      <w:ind w:firstLine="0"/>
    </w:pPr>
  </w:style>
  <w:style w:type="character" w:styleId="14">
    <w:name w:val="page number"/>
    <w:basedOn w:val="13"/>
    <w:uiPriority w:val="99"/>
  </w:style>
  <w:style w:type="character" w:customStyle="1" w:styleId="15">
    <w:name w:val="Body Text Char"/>
    <w:basedOn w:val="13"/>
    <w:link w:val="2"/>
    <w:semiHidden/>
    <w:qFormat/>
    <w:locked/>
    <w:uiPriority w:val="99"/>
    <w:rPr>
      <w:sz w:val="21"/>
      <w:szCs w:val="21"/>
    </w:rPr>
  </w:style>
  <w:style w:type="character" w:customStyle="1" w:styleId="16">
    <w:name w:val="Comment Text Char"/>
    <w:basedOn w:val="13"/>
    <w:link w:val="3"/>
    <w:semiHidden/>
    <w:locked/>
    <w:uiPriority w:val="99"/>
    <w:rPr>
      <w:sz w:val="21"/>
      <w:szCs w:val="21"/>
    </w:rPr>
  </w:style>
  <w:style w:type="character" w:customStyle="1" w:styleId="17">
    <w:name w:val="Body Text Indent Char"/>
    <w:basedOn w:val="13"/>
    <w:link w:val="4"/>
    <w:semiHidden/>
    <w:qFormat/>
    <w:locked/>
    <w:uiPriority w:val="99"/>
    <w:rPr>
      <w:sz w:val="21"/>
      <w:szCs w:val="21"/>
    </w:rPr>
  </w:style>
  <w:style w:type="character" w:customStyle="1" w:styleId="18">
    <w:name w:val="Balloon Text Char"/>
    <w:basedOn w:val="13"/>
    <w:link w:val="6"/>
    <w:qFormat/>
    <w:locked/>
    <w:uiPriority w:val="99"/>
    <w:rPr>
      <w:kern w:val="2"/>
      <w:sz w:val="18"/>
      <w:szCs w:val="18"/>
    </w:rPr>
  </w:style>
  <w:style w:type="character" w:customStyle="1" w:styleId="19">
    <w:name w:val="Footer Char"/>
    <w:basedOn w:val="13"/>
    <w:link w:val="7"/>
    <w:semiHidden/>
    <w:qFormat/>
    <w:locked/>
    <w:uiPriority w:val="99"/>
    <w:rPr>
      <w:sz w:val="18"/>
      <w:szCs w:val="18"/>
    </w:rPr>
  </w:style>
  <w:style w:type="character" w:customStyle="1" w:styleId="20">
    <w:name w:val="Header Char"/>
    <w:basedOn w:val="13"/>
    <w:link w:val="8"/>
    <w:semiHidden/>
    <w:qFormat/>
    <w:locked/>
    <w:uiPriority w:val="99"/>
    <w:rPr>
      <w:sz w:val="18"/>
      <w:szCs w:val="18"/>
    </w:rPr>
  </w:style>
  <w:style w:type="character" w:customStyle="1" w:styleId="21">
    <w:name w:val="Body Text First Indent 2 Char"/>
    <w:basedOn w:val="17"/>
    <w:link w:val="11"/>
    <w:semiHidden/>
    <w:qFormat/>
    <w:locked/>
    <w:uiPriority w:val="99"/>
  </w:style>
  <w:style w:type="paragraph" w:customStyle="1" w:styleId="22">
    <w:name w:val="十四五正文"/>
    <w:basedOn w:val="1"/>
    <w:qFormat/>
    <w:uiPriority w:val="99"/>
    <w:pPr>
      <w:ind w:firstLine="800" w:firstLineChars="250"/>
    </w:pPr>
    <w:rPr>
      <w:rFonts w:ascii="仿宋" w:hAnsi="仿宋" w:eastAsia="仿宋" w:cs="仿宋"/>
      <w:color w:val="000000"/>
      <w:sz w:val="32"/>
      <w:szCs w:val="32"/>
    </w:rPr>
  </w:style>
  <w:style w:type="paragraph" w:customStyle="1" w:styleId="23">
    <w:name w:val="十四五次标题"/>
    <w:basedOn w:val="1"/>
    <w:qFormat/>
    <w:uiPriority w:val="99"/>
    <w:pPr>
      <w:ind w:firstLine="640" w:firstLineChars="200"/>
      <w:outlineLvl w:val="1"/>
    </w:pPr>
    <w:rPr>
      <w:rFonts w:ascii="仿宋" w:hAnsi="仿宋" w:eastAsia="仿宋" w:cs="仿宋"/>
      <w:b/>
      <w:bCs/>
      <w:color w:val="000000"/>
      <w:sz w:val="32"/>
      <w:szCs w:val="32"/>
    </w:rPr>
  </w:style>
  <w:style w:type="paragraph" w:customStyle="1" w:styleId="24">
    <w:name w:val="十四五主标题"/>
    <w:basedOn w:val="1"/>
    <w:qFormat/>
    <w:uiPriority w:val="99"/>
    <w:pPr>
      <w:spacing w:beforeLines="50" w:afterLines="50"/>
      <w:ind w:firstLine="643" w:firstLineChars="200"/>
      <w:outlineLvl w:val="0"/>
    </w:pPr>
    <w:rPr>
      <w:rFonts w:ascii="宋体" w:hAnsi="宋体" w:cs="宋体"/>
      <w:b/>
      <w:bCs/>
      <w:color w:val="000000"/>
      <w:sz w:val="32"/>
      <w:szCs w:val="32"/>
    </w:rPr>
  </w:style>
  <w:style w:type="paragraph" w:customStyle="1" w:styleId="25">
    <w:name w:val="十四五正文1"/>
    <w:basedOn w:val="1"/>
    <w:qFormat/>
    <w:uiPriority w:val="99"/>
    <w:pPr>
      <w:ind w:firstLine="640" w:firstLineChars="200"/>
    </w:pPr>
    <w:rPr>
      <w:rFonts w:ascii="仿宋" w:hAnsi="仿宋" w:eastAsia="仿宋" w:cs="仿宋"/>
      <w:color w:val="000000"/>
      <w:sz w:val="32"/>
      <w:szCs w:val="32"/>
    </w:rPr>
  </w:style>
  <w:style w:type="character" w:customStyle="1" w:styleId="26">
    <w:name w:val="font91"/>
    <w:basedOn w:val="13"/>
    <w:qFormat/>
    <w:uiPriority w:val="99"/>
    <w:rPr>
      <w:rFonts w:ascii="仿宋" w:hAnsi="仿宋" w:eastAsia="仿宋" w:cs="仿宋"/>
      <w:color w:val="000000"/>
      <w:sz w:val="24"/>
      <w:szCs w:val="24"/>
      <w:u w:val="none"/>
      <w:vertAlign w:val="superscript"/>
    </w:rPr>
  </w:style>
  <w:style w:type="character" w:customStyle="1" w:styleId="27">
    <w:name w:val="font51"/>
    <w:basedOn w:val="13"/>
    <w:qFormat/>
    <w:uiPriority w:val="99"/>
    <w:rPr>
      <w:rFonts w:ascii="仿宋" w:hAnsi="仿宋" w:eastAsia="仿宋" w:cs="仿宋"/>
      <w:color w:val="000000"/>
      <w:sz w:val="24"/>
      <w:szCs w:val="24"/>
      <w:u w:val="none"/>
    </w:rPr>
  </w:style>
  <w:style w:type="character" w:customStyle="1" w:styleId="28">
    <w:name w:val="font101"/>
    <w:basedOn w:val="13"/>
    <w:qFormat/>
    <w:uiPriority w:val="99"/>
    <w:rPr>
      <w:rFonts w:ascii="宋体" w:hAnsi="宋体" w:eastAsia="宋体" w:cs="宋体"/>
      <w:color w:val="000000"/>
      <w:sz w:val="20"/>
      <w:szCs w:val="20"/>
      <w:u w:val="none"/>
    </w:rPr>
  </w:style>
  <w:style w:type="character" w:customStyle="1" w:styleId="29">
    <w:name w:val="font31"/>
    <w:basedOn w:val="13"/>
    <w:qFormat/>
    <w:uiPriority w:val="99"/>
    <w:rPr>
      <w:rFonts w:ascii="仿宋" w:hAnsi="仿宋" w:eastAsia="仿宋" w:cs="仿宋"/>
      <w:color w:val="000000"/>
      <w:sz w:val="24"/>
      <w:szCs w:val="24"/>
      <w:u w:val="none"/>
    </w:rPr>
  </w:style>
  <w:style w:type="character" w:customStyle="1" w:styleId="30">
    <w:name w:val="font41"/>
    <w:basedOn w:val="13"/>
    <w:qFormat/>
    <w:uiPriority w:val="99"/>
    <w:rPr>
      <w:rFonts w:ascii="仿宋" w:hAnsi="仿宋" w:eastAsia="仿宋" w:cs="仿宋"/>
      <w:color w:val="000000"/>
      <w:sz w:val="24"/>
      <w:szCs w:val="24"/>
      <w:u w:val="none"/>
    </w:rPr>
  </w:style>
  <w:style w:type="character" w:customStyle="1" w:styleId="31">
    <w:name w:val="font11"/>
    <w:basedOn w:val="13"/>
    <w:qFormat/>
    <w:uiPriority w:val="99"/>
    <w:rPr>
      <w:rFonts w:ascii="仿宋" w:hAnsi="仿宋" w:eastAsia="仿宋" w:cs="仿宋"/>
      <w:color w:val="000000"/>
      <w:sz w:val="24"/>
      <w:szCs w:val="24"/>
      <w:u w:val="none"/>
    </w:rPr>
  </w:style>
  <w:style w:type="paragraph" w:customStyle="1" w:styleId="32">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3">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34">
    <w:name w:val="Plain Text Char"/>
    <w:basedOn w:val="13"/>
    <w:link w:val="5"/>
    <w:semiHidden/>
    <w:qFormat/>
    <w:locked/>
    <w:uiPriority w:val="99"/>
    <w:rPr>
      <w:rFonts w:ascii="宋体" w:hAnsi="Courier New" w:eastAsia="宋体" w:cs="宋体"/>
      <w:kern w:val="2"/>
      <w:sz w:val="21"/>
      <w:szCs w:val="21"/>
      <w:lang w:val="en-US" w:eastAsia="zh-CN"/>
    </w:rPr>
  </w:style>
  <w:style w:type="paragraph" w:customStyle="1" w:styleId="35">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39</Pages>
  <Words>20122</Words>
  <Characters>21851</Characters>
  <Lines>0</Lines>
  <Paragraphs>0</Paragraphs>
  <TotalTime>115</TotalTime>
  <ScaleCrop>false</ScaleCrop>
  <LinksUpToDate>false</LinksUpToDate>
  <CharactersWithSpaces>21953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2022-03-08T01:09:00Z</dcterms:created>
  <dc:creator>神经蛙</dc:creator>
  <cp:lastModifiedBy>浪浪剑心</cp:lastModifiedBy>
  <cp:lastPrinted>2022-09-27T03:36:00Z</cp:lastPrinted>
  <dcterms:modified xsi:type="dcterms:W3CDTF">2022-09-27T07:01:25Z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FC3F75AD6AD94B858676052B6E775A47</vt:lpwstr>
  </property>
  <property fmtid="{D5CDD505-2E9C-101B-9397-08002B2CF9AE}" pid="4" name="KSOSaveFontToCloudKey">
    <vt:lpwstr>1291825183_embed</vt:lpwstr>
  </property>
</Properties>
</file>