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r>
        <w:rPr>
          <w:rFonts w:ascii="宋体" w:hAnsi="宋体" w:eastAsia="宋体" w:cs="宋体"/>
          <w:color w:val="000000"/>
          <w:sz w:val="44"/>
          <w:szCs w:val="44"/>
        </w:rPr>
        <w:t>2020年度益阳市资阳区自然资源局部门决算</w:t>
      </w:r>
      <w:r>
        <w:rPr>
          <w:color w:val="000000"/>
        </w:rPr>
        <w:t xml:space="preserve"> </w:t>
      </w:r>
    </w:p>
    <w:p>
      <w:pPr>
        <w:spacing w:before="0" w:beforeAutospacing="0" w:after="2" w:afterAutospacing="0"/>
        <w:jc w:val="center"/>
        <w:rPr>
          <w:sz w:val="21"/>
          <w:szCs w:val="21"/>
        </w:rPr>
      </w:pPr>
      <w:r>
        <w:rPr>
          <w:color w:val="000000"/>
          <w:sz w:val="32"/>
          <w:szCs w:val="32"/>
        </w:rPr>
        <w:t> </w:t>
      </w:r>
      <w:r>
        <w:rPr>
          <w:color w:val="000000"/>
          <w:sz w:val="21"/>
          <w:szCs w:val="21"/>
        </w:rPr>
        <w:t xml:space="preserve"> </w:t>
      </w:r>
    </w:p>
    <w:p>
      <w:pPr>
        <w:spacing w:before="0" w:beforeAutospacing="0" w:after="2" w:afterAutospacing="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spacing w:before="0" w:beforeAutospacing="0" w:after="2" w:afterAutospacing="0"/>
        <w:jc w:val="center"/>
        <w:rPr>
          <w:sz w:val="21"/>
          <w:szCs w:val="21"/>
        </w:rPr>
      </w:pP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第一部分 益阳市资阳区自然资源局概况</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一、部门职责</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二、机构设置</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第二部分 2020年度部门决算表</w:t>
      </w:r>
      <w:r>
        <w:rPr>
          <w:color w:val="000000"/>
          <w:sz w:val="27"/>
          <w:szCs w:val="27"/>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14"/>
        <w:spacing w:before="0" w:beforeAutospacing="0" w:after="2" w:afterAutospacing="0"/>
        <w:ind w:left="0" w:firstLine="700"/>
      </w:pPr>
      <w:r>
        <w:rPr>
          <w:rFonts w:hint="eastAsia" w:ascii="宋体" w:hAnsi="宋体" w:eastAsia="宋体" w:cs="宋体"/>
          <w:b/>
          <w:bCs/>
          <w:color w:val="000000"/>
          <w:sz w:val="32"/>
          <w:szCs w:val="32"/>
        </w:rPr>
        <w:t>第三部分 2020年度部门决算情况说明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一、收入支出决算总体情况说明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二、收入决算情况说明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三、支出决算情况说明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九、国有资本经营预算财政拨款支出决算情况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十、关于机关运行经费支出说明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十一、一般性支出情况</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十二、关于政府采购支出说明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十三、关于国有资产占用情况说明</w:t>
      </w:r>
      <w:r>
        <w:rPr>
          <w:color w:val="000000"/>
        </w:rPr>
        <w:t xml:space="preserve"> </w:t>
      </w:r>
    </w:p>
    <w:p>
      <w:pPr>
        <w:pStyle w:val="14"/>
        <w:spacing w:before="0" w:beforeAutospacing="0" w:after="2" w:afterAutospacing="0"/>
        <w:ind w:left="0" w:firstLine="700"/>
      </w:pPr>
      <w:r>
        <w:rPr>
          <w:rFonts w:hint="eastAsia" w:ascii="宋体" w:hAnsi="宋体" w:eastAsia="宋体" w:cs="宋体"/>
          <w:color w:val="000000"/>
          <w:sz w:val="28"/>
          <w:szCs w:val="28"/>
        </w:rPr>
        <w:t>十四、关于2020年度预算绩效情况的说明</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
    <w:p/>
    <w:p/>
    <w:p/>
    <w:p>
      <w:pPr>
        <w:spacing w:before="0" w:beforeAutospacing="0" w:after="2" w:afterAutospacing="0" w:line="600" w:lineRule="atLeast"/>
        <w:ind w:left="0" w:right="0"/>
        <w:jc w:val="center"/>
        <w:rPr>
          <w:sz w:val="21"/>
          <w:szCs w:val="21"/>
        </w:rPr>
      </w:pPr>
      <w:r>
        <w:rPr>
          <w:rFonts w:hint="eastAsia" w:ascii="宋体" w:hAnsi="宋体" w:eastAsia="宋体" w:cs="宋体"/>
          <w:b/>
          <w:bCs/>
          <w:color w:val="000000"/>
          <w:sz w:val="36"/>
          <w:szCs w:val="36"/>
        </w:rPr>
        <w:t>第一部分 益阳市资阳区自然资源局概况</w:t>
      </w:r>
      <w:r>
        <w:rPr>
          <w:b/>
          <w:bCs/>
          <w:color w:val="000000"/>
          <w:sz w:val="21"/>
          <w:szCs w:val="21"/>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ind w:left="0" w:right="0" w:firstLine="0"/>
      </w:pPr>
      <w:r>
        <w:rPr>
          <w:rFonts w:hint="eastAsia" w:ascii="黑体" w:hAnsi="宋体" w:eastAsia="黑体" w:cs="黑体"/>
          <w:color w:val="000000"/>
          <w:sz w:val="32"/>
          <w:szCs w:val="32"/>
        </w:rPr>
        <w:t> </w:t>
      </w:r>
      <w:r>
        <w:rPr>
          <w:color w:val="000000"/>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（一）依法履行辖区内(除市直管中心城区范围以外)全民所有土地、矿产、森林、草原、湿地、水等自然资源资产所有者职责和国土空间用途管制职责。</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（二）负责实施自然资源基础调查、专项调查和动态监测。负责自然资源调查监测评价成果的监督管理和信息发布。负责全区自然资源调查监测评价工作。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三）负责自然资源统一确权登记工作。履行各类自然资源和不动产统一确权登记、权籍调查、不动产测绘、争议调处、成果应用的制度、标准、规范。建立健全自然资源和不动产登记信息管理基础平台。负责自然资源和不动产登记资料收集、整理、共享、汇交管理等。指导监督全区自然资源和不动产确权登记。</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四）负责自然资源资产有偿使用工作。负责全民所有自然资源资产统计和资产核算。编制全民所有自然资源资产负债表,拟订考核标准。负责全民所有自然资源资产划拨、出让、租赁、作价出资和土地储备工作,合理配置全民所有自然资源资产。负责自然资源资产价值评估管理。</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五）负责自然资源的合理开发利用。组织拟订自然资源发展规划和战略,实施上级制定的自然资源开发利用标准,建立政府公示自然资源价格体系,组织开展自然资源分等定级价格评估,开展自然资源利用评价考核,指导节约集约利用。负责自然资源市场监管。组织研究自然资源管理涉及宏观调控、区域协调和城乡统筹的政策措施。</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六）负责建立空间规划体系并监督实施。推进主体功能区战略和制度,组织编制并监督实施国土空间规划和相关专项规划,开展国土空间开发适宜性评价,建立国土空间规划实施监测、评估和预警体系。组织划定生态保护红线、永久基本农田、城镇开发边界等控制线。建立健全和组织实施国土空间用途管制制度。承担全区城乡规划管理工作,研究拟订城乡规划政策并监督实施。组织实施土地等自然资源年度利用计划。负责土地等国土空间用途转用工作。负责土地征收征用管理。负责山体水体保护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七）负责统筹国土空间生态修复。牵头组织编制全区国土空间生态修复规划并实施有关生态修复工程。负责国土空间综合整治、土地整理复垦、矿山地质环境恢复治理等工作。执行生态保护补偿制度,制定合理利用社会资金进行生态修复的制度措施,并提出区级所有各选项目。</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（八）负责组织实施最严格的耕地保护制度。执行耕地保护政策,负责耕地数量和生态保护,做好耕地质量保护有关工作。组织实施耕地保护责任目标考核和永久基本农田特殊保护。执行耕地占补平衡制度。</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九）负责管理仝区地质工作和联系辖区内地勘单位。编制全区地质勘查规划并监督检查执行情况。监督管理区级地质勘查项目。监督管理地下水过量开采及引发的地面沉降等地质问题。负责古生物化石的监督管理。</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十）负责地质灾害预防和治理。负责落实综合防灾减灾规划相关要求,组织编制地质灾害防治规划并组织实施。组织指导协调和监督地质灾害调查评价及隐患普查、详查、排查。指导开展群测群防、专业监测和预报预警等工作,指导开展地质灾害工程治理工作。承担地质灾害应急救援的技术支撑工作。</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（十一）负责矿产资源管理工作。负责矿产资源储量管理及矿业权管理。监督指导矿产资源合理利用和保护。</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（十二）负责测绘地理信息管理工作。负责辖区内基础测绘。负责监督管理地理信息安全和市场秩序。负责地图管理、地理信·憝公共服务工作。负责测量标志保护。</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十三）根据区委授权,对乡(镇、街道)以及园区相关部门落实区委、区政府关于自然资源和国土空间规划重太政策、决策部署及法律法规执行情况进行督察。查处自然资源开发利用和国土空间规划及测绘违法案件。</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（十四）统一领导和管理区林业局。</w:t>
      </w:r>
      <w:r>
        <w:rPr>
          <w:color w:val="000000"/>
          <w:sz w:val="32"/>
          <w:szCs w:val="32"/>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（十五）完成区委、区政府交办的其他任务。</w:t>
      </w:r>
      <w:r>
        <w:rPr>
          <w:color w:val="000000"/>
          <w:sz w:val="32"/>
          <w:szCs w:val="32"/>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二、机构设置及决算单位构成</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（一）内设机构设置</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益阳市资阳区自然资源局内设机构包括：经编办核定，全局现有编制人数70个。实有在编在岗61人，其中：行政编制人员13人，参照管理事业人员1人，全额事业编制人员45人，差额编制人员2人。 我局设7个内设机构及6个公益一类事业单位： （1）、办公室（人事股，财务股） （2）、法规信息综合股（档案信息股、测绘股、政务服务办公室） （3）、国土空间保护修复股 （4）、国土空间规划股（自然资源规划监管股） （5）、国土空间用途管制股（自然资源开发利用股） （6）、自然资源调查监测股 （7）、矿产资源保护监督股（地质勘查矿业权管理股） （8）、益阳市资阳区自然资源执法监察大队 （9）、益阳市资阳区国土空间生态修复中心 （10）、益阳市资阳区不动产登记中心 （11）、益阳市资阳区征地和测绘队 （12）、益阳市资阳区土地储备中心 （13）、益阳市资阳区国土空间规划事务中心。</w:t>
      </w:r>
      <w:r>
        <w:rPr>
          <w:color w:val="000000"/>
          <w:sz w:val="27"/>
          <w:szCs w:val="27"/>
        </w:rPr>
        <w:t xml:space="preserve"> </w:t>
      </w:r>
    </w:p>
    <w:p>
      <w:pPr>
        <w:spacing w:before="0" w:beforeAutospacing="0" w:after="2" w:afterAutospacing="0"/>
        <w:ind w:left="0" w:firstLine="627"/>
      </w:pPr>
      <w:r>
        <w:rPr>
          <w:rFonts w:hint="eastAsia" w:ascii="宋体" w:hAnsi="宋体" w:eastAsia="宋体" w:cs="宋体"/>
          <w:color w:val="000000"/>
          <w:sz w:val="32"/>
          <w:szCs w:val="32"/>
        </w:rPr>
        <w:t>（二）决算单位构成</w:t>
      </w:r>
      <w:r>
        <w:rPr>
          <w:color w:val="000000"/>
        </w:rPr>
        <w:t xml:space="preserve"> </w:t>
      </w:r>
    </w:p>
    <w:p>
      <w:pPr>
        <w:spacing w:before="0" w:beforeAutospacing="0" w:after="2" w:afterAutospacing="0"/>
        <w:ind w:left="0" w:firstLine="627"/>
      </w:pPr>
      <w:r>
        <w:rPr>
          <w:rFonts w:hint="eastAsia" w:ascii="宋体" w:hAnsi="宋体" w:eastAsia="宋体" w:cs="宋体"/>
          <w:color w:val="000000"/>
          <w:sz w:val="32"/>
          <w:szCs w:val="32"/>
        </w:rPr>
        <w:t xml:space="preserve">    </w:t>
      </w:r>
      <w:r>
        <w:rPr>
          <w:rFonts w:ascii="宋体" w:hAnsi="宋体" w:eastAsia="宋体" w:cs="宋体"/>
          <w:i w:val="0"/>
          <w:iCs w:val="0"/>
          <w:caps w:val="0"/>
          <w:color w:val="000000"/>
          <w:spacing w:val="0"/>
          <w:sz w:val="32"/>
          <w:szCs w:val="32"/>
        </w:rPr>
        <w:t>益阳市资阳区自然资源局2020年部门决算汇总公开单位构成包括：益阳市资阳区自然资源局本级。</w:t>
      </w:r>
      <w:r>
        <w:rPr>
          <w:color w:val="000000"/>
        </w:rPr>
        <w:t xml:space="preserve"> </w:t>
      </w:r>
    </w:p>
    <w:p>
      <w:pPr>
        <w:pStyle w:val="9"/>
        <w:keepNext w:val="0"/>
        <w:keepLines w:val="0"/>
        <w:widowControl/>
        <w:suppressLineNumbers w:val="0"/>
        <w:spacing w:before="0" w:beforeAutospacing="0" w:after="2" w:afterAutospacing="0"/>
      </w:pPr>
    </w:p>
    <w:p/>
    <w:p>
      <w:pPr>
        <w:rPr>
          <w:color w:val="000000"/>
        </w:rPr>
        <w:sectPr>
          <w:pgSz w:w="11906" w:h="16838" w:orient="landscape"/>
          <w:pgMar w:top="1440" w:right="1080" w:bottom="1440" w:left="1080" w:header="851" w:footer="992" w:gutter="0"/>
          <w:paperSrc/>
          <w:cols w:space="0" w:num="1"/>
          <w:docGrid w:type="lines" w:linePitch="160" w:charSpace="0"/>
        </w:sectPr>
      </w:pPr>
    </w:p>
    <w:p>
      <w:pPr>
        <w:spacing w:before="0" w:beforeAutospacing="0" w:after="2" w:afterAutospacing="0"/>
        <w:ind w:left="0" w:firstLine="721"/>
        <w:jc w:val="center"/>
        <w:rPr>
          <w:sz w:val="21"/>
          <w:szCs w:val="21"/>
        </w:rPr>
      </w:pPr>
      <w:r>
        <w:rPr>
          <w:rFonts w:hint="eastAsia" w:ascii="宋体" w:hAnsi="宋体" w:eastAsia="宋体" w:cs="宋体"/>
          <w:b/>
          <w:bCs/>
          <w:color w:val="000000"/>
          <w:sz w:val="36"/>
          <w:szCs w:val="36"/>
        </w:rPr>
        <w:t>第二部分 2020年度部门决算表</w:t>
      </w:r>
      <w:r>
        <w:rPr>
          <w:color w:val="000000"/>
          <w:sz w:val="21"/>
          <w:szCs w:val="21"/>
        </w:rPr>
        <w:t xml:space="preserve"> </w:t>
      </w:r>
    </w:p>
    <w:p>
      <w:pPr>
        <w:pStyle w:val="9"/>
        <w:keepNext w:val="0"/>
        <w:keepLines w:val="0"/>
        <w:widowControl/>
        <w:suppressLineNumbers w:val="0"/>
        <w:spacing w:before="0" w:beforeAutospacing="0" w:after="2" w:afterAutospacing="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2"/>
        <w:gridCol w:w="648"/>
        <w:gridCol w:w="2569"/>
        <w:gridCol w:w="4802"/>
        <w:gridCol w:w="648"/>
        <w:gridCol w:w="2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shd w:val="clear"/>
            <w:vAlign w:val="center"/>
          </w:tcPr>
          <w:p>
            <w:pPr>
              <w:pStyle w:val="9"/>
              <w:keepNext w:val="0"/>
              <w:keepLines w:val="0"/>
              <w:widowControl/>
              <w:suppressLineNumbers w:val="0"/>
            </w:pPr>
          </w:p>
        </w:tc>
        <w:tc>
          <w:tcPr>
            <w:tcW w:w="202" w:type="pct"/>
            <w:shd w:val="clear"/>
            <w:vAlign w:val="center"/>
          </w:tcPr>
          <w:p>
            <w:pPr>
              <w:pStyle w:val="9"/>
              <w:keepNext w:val="0"/>
              <w:keepLines w:val="0"/>
              <w:widowControl/>
              <w:suppressLineNumbers w:val="0"/>
            </w:pPr>
          </w:p>
        </w:tc>
        <w:tc>
          <w:tcPr>
            <w:tcW w:w="799" w:type="pct"/>
            <w:shd w:val="clear"/>
            <w:vAlign w:val="center"/>
          </w:tcPr>
          <w:p>
            <w:pPr>
              <w:pStyle w:val="9"/>
              <w:keepNext w:val="0"/>
              <w:keepLines w:val="0"/>
              <w:widowControl/>
              <w:suppressLineNumbers w:val="0"/>
            </w:pPr>
          </w:p>
        </w:tc>
        <w:tc>
          <w:tcPr>
            <w:tcW w:w="1497" w:type="pct"/>
            <w:shd w:val="clear"/>
            <w:vAlign w:val="center"/>
          </w:tcPr>
          <w:p>
            <w:pPr>
              <w:pStyle w:val="9"/>
              <w:keepNext w:val="0"/>
              <w:keepLines w:val="0"/>
              <w:widowControl/>
              <w:suppressLineNumbers w:val="0"/>
            </w:pP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公开01表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997" w:type="pct"/>
            <w:gridSpan w:val="4"/>
            <w:shd w:val="clear"/>
            <w:vAlign w:val="center"/>
          </w:tcPr>
          <w:p>
            <w:pPr>
              <w:pStyle w:val="9"/>
              <w:keepNext w:val="0"/>
              <w:keepLines w:val="0"/>
              <w:widowControl/>
              <w:suppressLineNumbers w:val="0"/>
              <w:jc w:val="left"/>
            </w:pPr>
          </w:p>
        </w:tc>
        <w:tc>
          <w:tcPr>
            <w:tcW w:w="100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收入 </w:t>
            </w:r>
          </w:p>
        </w:tc>
        <w:tc>
          <w:tcPr>
            <w:tcW w:w="250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4,024.81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三、国有资本经营预算财政拨款收入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四、上级补助收入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五、事业收入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六、经营收入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七、附属单位上缴收入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八、其他收入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471.16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197.11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24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25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0"/>
                <w:szCs w:val="20"/>
              </w:rPr>
              <w:t xml:space="preserve">26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5,120.97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使用非财政拨款结余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结余分配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232.46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年末结转和结余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5,353.43 </w:t>
            </w:r>
          </w:p>
        </w:tc>
        <w:tc>
          <w:tcPr>
            <w:tcW w:w="1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20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7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6"/>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2"/>
        <w:gridCol w:w="362"/>
        <w:gridCol w:w="362"/>
        <w:gridCol w:w="3192"/>
        <w:gridCol w:w="2175"/>
        <w:gridCol w:w="1594"/>
        <w:gridCol w:w="1594"/>
        <w:gridCol w:w="1594"/>
        <w:gridCol w:w="1607"/>
        <w:gridCol w:w="1594"/>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1"/>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收入决算表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13" w:type="pct"/>
            <w:shd w:val="clear"/>
            <w:vAlign w:val="center"/>
          </w:tcPr>
          <w:p>
            <w:pPr>
              <w:pStyle w:val="9"/>
              <w:keepNext w:val="0"/>
              <w:keepLines w:val="0"/>
              <w:widowControl/>
              <w:suppressLineNumbers w:val="0"/>
            </w:pPr>
          </w:p>
        </w:tc>
        <w:tc>
          <w:tcPr>
            <w:tcW w:w="113" w:type="pct"/>
            <w:shd w:val="clear"/>
            <w:vAlign w:val="center"/>
          </w:tcPr>
          <w:p>
            <w:pPr>
              <w:pStyle w:val="9"/>
              <w:keepNext w:val="0"/>
              <w:keepLines w:val="0"/>
              <w:widowControl/>
              <w:suppressLineNumbers w:val="0"/>
            </w:pPr>
          </w:p>
        </w:tc>
        <w:tc>
          <w:tcPr>
            <w:tcW w:w="113" w:type="pct"/>
            <w:shd w:val="clear"/>
            <w:vAlign w:val="center"/>
          </w:tcPr>
          <w:p>
            <w:pPr>
              <w:pStyle w:val="9"/>
              <w:keepNext w:val="0"/>
              <w:keepLines w:val="0"/>
              <w:widowControl/>
              <w:suppressLineNumbers w:val="0"/>
            </w:pPr>
          </w:p>
        </w:tc>
        <w:tc>
          <w:tcPr>
            <w:tcW w:w="995" w:type="pct"/>
            <w:shd w:val="clear"/>
            <w:vAlign w:val="center"/>
          </w:tcPr>
          <w:p>
            <w:pPr>
              <w:pStyle w:val="9"/>
              <w:keepNext w:val="0"/>
              <w:keepLines w:val="0"/>
              <w:widowControl/>
              <w:suppressLineNumbers w:val="0"/>
            </w:pPr>
          </w:p>
        </w:tc>
        <w:tc>
          <w:tcPr>
            <w:tcW w:w="678"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497" w:type="pct"/>
            <w:shd w:val="clear"/>
            <w:vAlign w:val="center"/>
          </w:tcPr>
          <w:p>
            <w:pPr>
              <w:pStyle w:val="9"/>
              <w:keepNext w:val="0"/>
              <w:keepLines w:val="0"/>
              <w:widowControl/>
              <w:suppressLineNumbers w:val="0"/>
            </w:pPr>
          </w:p>
        </w:tc>
        <w:tc>
          <w:tcPr>
            <w:tcW w:w="99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公开02表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004" w:type="pct"/>
            <w:gridSpan w:val="9"/>
            <w:shd w:val="clear"/>
            <w:vAlign w:val="center"/>
          </w:tcPr>
          <w:p>
            <w:pPr>
              <w:pStyle w:val="9"/>
              <w:keepNext w:val="0"/>
              <w:keepLines w:val="0"/>
              <w:widowControl/>
              <w:suppressLineNumbers w:val="0"/>
              <w:jc w:val="left"/>
            </w:pPr>
          </w:p>
        </w:tc>
        <w:tc>
          <w:tcPr>
            <w:tcW w:w="99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财政拨款收入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上级补助收入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事业收入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附属单位上缴收入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其他收入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34"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5,120.97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4,649.81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471.16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57.06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57.06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2080506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机关事业单位职业年金缴费支出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27.20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27.20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2101103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2130124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农村合作经济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500.00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自然资源海洋气象等支出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3,497.16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3,365.53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自然资源事务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3,497.16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3,365.53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550.10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418.47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131.63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2200104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自然资源规划及管理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2200106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自然资源利用与保护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1,747.65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1,747.65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其他自然资源事务支出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1,183.41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1,183.41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224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灾害防治及应急管理支出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22406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自然灾害防治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2240601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地质灾害防治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198.00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25.00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166.53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166.53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2299901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166.53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166.53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234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抗疫特别国债安排的支出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23402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抗疫相关支出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39"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2340299 </w:t>
            </w:r>
          </w:p>
        </w:tc>
        <w:tc>
          <w:tcPr>
            <w:tcW w:w="99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其他抗疫相关支出 </w:t>
            </w:r>
          </w:p>
        </w:tc>
        <w:tc>
          <w:tcPr>
            <w:tcW w:w="6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97"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0"/>
        <w:gridCol w:w="401"/>
        <w:gridCol w:w="404"/>
        <w:gridCol w:w="3548"/>
        <w:gridCol w:w="2415"/>
        <w:gridCol w:w="1771"/>
        <w:gridCol w:w="1771"/>
        <w:gridCol w:w="1780"/>
        <w:gridCol w:w="1771"/>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25" w:type="pct"/>
            <w:shd w:val="clear"/>
            <w:vAlign w:val="center"/>
          </w:tcPr>
          <w:p>
            <w:pPr>
              <w:pStyle w:val="9"/>
              <w:keepNext w:val="0"/>
              <w:keepLines w:val="0"/>
              <w:widowControl/>
              <w:suppressLineNumbers w:val="0"/>
            </w:pPr>
          </w:p>
        </w:tc>
        <w:tc>
          <w:tcPr>
            <w:tcW w:w="1105" w:type="pct"/>
            <w:shd w:val="clear"/>
            <w:vAlign w:val="center"/>
          </w:tcPr>
          <w:p>
            <w:pPr>
              <w:pStyle w:val="9"/>
              <w:keepNext w:val="0"/>
              <w:keepLines w:val="0"/>
              <w:widowControl/>
              <w:suppressLineNumbers w:val="0"/>
            </w:pPr>
          </w:p>
        </w:tc>
        <w:tc>
          <w:tcPr>
            <w:tcW w:w="753"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552" w:type="pct"/>
            <w:shd w:val="clear"/>
            <w:vAlign w:val="center"/>
          </w:tcPr>
          <w:p>
            <w:pPr>
              <w:pStyle w:val="9"/>
              <w:keepNext w:val="0"/>
              <w:keepLines w:val="0"/>
              <w:widowControl/>
              <w:suppressLineNumbers w:val="0"/>
            </w:pP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公开03表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jc w:val="center"/>
        </w:trPr>
        <w:tc>
          <w:tcPr>
            <w:tcW w:w="3894" w:type="pct"/>
            <w:gridSpan w:val="8"/>
            <w:shd w:val="clear"/>
            <w:vAlign w:val="center"/>
          </w:tcPr>
          <w:p>
            <w:pPr>
              <w:pStyle w:val="9"/>
              <w:keepNext w:val="0"/>
              <w:keepLines w:val="0"/>
              <w:widowControl/>
              <w:suppressLineNumbers w:val="0"/>
              <w:jc w:val="left"/>
            </w:pPr>
          </w:p>
        </w:tc>
        <w:tc>
          <w:tcPr>
            <w:tcW w:w="1105"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上缴上级支出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经营支出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对附属单位补助支出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82"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2,366.35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973.76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1,392.59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57.06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57.06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2080506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机关事业单位职业年金缴费支出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27.20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27.20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2101103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农村合作经济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自然资源海洋气象等支出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1,478.95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642.37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836.58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自然资源事务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1,478.95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642.37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836.58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611.11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611.11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自然资源规划及管理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2200106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自然资源利用与保护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747.65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747.65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其他自然资源事务支出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104.19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31.26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72.93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224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灾害防治及应急管理支出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22406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自然灾害防治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2240601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地质灾害防治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165.92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197.11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197.11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197.11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197.11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7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2299901 </w:t>
            </w:r>
          </w:p>
        </w:tc>
        <w:tc>
          <w:tcPr>
            <w:tcW w:w="110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7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197.11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197.11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552"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04"/>
        <w:gridCol w:w="529"/>
        <w:gridCol w:w="1559"/>
        <w:gridCol w:w="3692"/>
        <w:gridCol w:w="529"/>
        <w:gridCol w:w="2130"/>
        <w:gridCol w:w="1466"/>
        <w:gridCol w:w="1463"/>
        <w:gridCol w:w="1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财政拨款收入支出决算总表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486" w:type="pct"/>
            <w:shd w:val="clear"/>
            <w:vAlign w:val="center"/>
          </w:tcPr>
          <w:p>
            <w:pPr>
              <w:pStyle w:val="9"/>
              <w:keepNext w:val="0"/>
              <w:keepLines w:val="0"/>
              <w:widowControl/>
              <w:suppressLineNumbers w:val="0"/>
            </w:pPr>
          </w:p>
        </w:tc>
        <w:tc>
          <w:tcPr>
            <w:tcW w:w="1151"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664" w:type="pct"/>
            <w:shd w:val="clear"/>
            <w:vAlign w:val="center"/>
          </w:tcPr>
          <w:p>
            <w:pPr>
              <w:pStyle w:val="9"/>
              <w:keepNext w:val="0"/>
              <w:keepLines w:val="0"/>
              <w:widowControl/>
              <w:suppressLineNumbers w:val="0"/>
            </w:pPr>
          </w:p>
        </w:tc>
        <w:tc>
          <w:tcPr>
            <w:tcW w:w="456" w:type="pct"/>
            <w:shd w:val="clear"/>
            <w:vAlign w:val="center"/>
          </w:tcPr>
          <w:p>
            <w:pPr>
              <w:pStyle w:val="9"/>
              <w:keepNext w:val="0"/>
              <w:keepLines w:val="0"/>
              <w:widowControl/>
              <w:suppressLineNumbers w:val="0"/>
            </w:pP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公开04表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087" w:type="pct"/>
            <w:gridSpan w:val="7"/>
            <w:shd w:val="clear"/>
            <w:vAlign w:val="center"/>
          </w:tcPr>
          <w:p>
            <w:pPr>
              <w:pStyle w:val="9"/>
              <w:keepNext w:val="0"/>
              <w:keepLines w:val="0"/>
              <w:widowControl/>
              <w:suppressLineNumbers w:val="0"/>
              <w:jc w:val="left"/>
            </w:pPr>
          </w:p>
        </w:tc>
        <w:tc>
          <w:tcPr>
            <w:tcW w:w="912"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收 入 </w:t>
            </w:r>
          </w:p>
        </w:tc>
        <w:tc>
          <w:tcPr>
            <w:tcW w:w="3349"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支 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金额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行次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一般公共预算财政拨款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政府性基金预算财政拨款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国有资本经营预算财政拨款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4,024.81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一、一般公共服务支出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二、外交支出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三、国有资本经营财政拨款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三、国防支出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四、公共安全支出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五、教育支出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六、科学技术支出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七、文化旅游体育与传媒支出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八、社会保障和就业支出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九、卫生健康支出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十、节能环保支出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十一、城乡社区支出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十二、农林水支出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十三、交通运输支出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十四、资源勘探工业信息等支出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十五、商业服务业等支出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十六、金融支出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十七、援助其他地区支出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十八、自然资源海洋气象等支出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1,286.31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1,286.31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十九、住房保障支出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二十、粮油物资储备支出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二十一、国有资本经营预算支出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二十二、灾害防治及应急管理支出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23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二十三、其他支出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55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24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二十四、债务还本支出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56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25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二十五、债务付息支出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57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26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二十六、抗疫特别国债安排的支出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58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本年收入合计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27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4,649.81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本年支出合计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59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1,810.68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1,810.68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年初财政拨款结转和结余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28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年末财政拨款结转和结余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60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2,839.13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2,214.13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一般公共预算财政拨款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29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61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政府性基金预算财政拨款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30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62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国有资本经营预算财政拨款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31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63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99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32 </w:t>
            </w:r>
          </w:p>
        </w:tc>
        <w:tc>
          <w:tcPr>
            <w:tcW w:w="48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4,649.81 </w:t>
            </w:r>
          </w:p>
        </w:tc>
        <w:tc>
          <w:tcPr>
            <w:tcW w:w="1151"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总计 </w:t>
            </w:r>
          </w:p>
        </w:tc>
        <w:tc>
          <w:tcPr>
            <w:tcW w:w="16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64 </w:t>
            </w:r>
          </w:p>
        </w:tc>
        <w:tc>
          <w:tcPr>
            <w:tcW w:w="6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4,649.81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4,024.81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625.00 </w:t>
            </w:r>
          </w:p>
        </w:tc>
        <w:tc>
          <w:tcPr>
            <w:tcW w:w="45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注：本表反映部门本年度一般公共预算财政拨款、政府性基金预算财政拨款和国有资本经营预算财政拨款的总收支和年末结转结余情况。本表金额转换为万元时，因四舍五入可能存在尾数误差。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2"/>
        <w:gridCol w:w="452"/>
        <w:gridCol w:w="455"/>
        <w:gridCol w:w="5398"/>
        <w:gridCol w:w="3092"/>
        <w:gridCol w:w="3093"/>
        <w:gridCol w:w="3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41" w:type="pct"/>
            <w:shd w:val="clear"/>
            <w:vAlign w:val="center"/>
          </w:tcPr>
          <w:p>
            <w:pPr>
              <w:pStyle w:val="9"/>
              <w:keepNext w:val="0"/>
              <w:keepLines w:val="0"/>
              <w:widowControl/>
              <w:suppressLineNumbers w:val="0"/>
            </w:pPr>
          </w:p>
        </w:tc>
        <w:tc>
          <w:tcPr>
            <w:tcW w:w="1683" w:type="pct"/>
            <w:shd w:val="clear"/>
            <w:vAlign w:val="center"/>
          </w:tcPr>
          <w:p>
            <w:pPr>
              <w:pStyle w:val="9"/>
              <w:keepNext w:val="0"/>
              <w:keepLines w:val="0"/>
              <w:widowControl/>
              <w:suppressLineNumbers w:val="0"/>
            </w:pPr>
          </w:p>
        </w:tc>
        <w:tc>
          <w:tcPr>
            <w:tcW w:w="964" w:type="pct"/>
            <w:shd w:val="clear"/>
            <w:vAlign w:val="center"/>
          </w:tcPr>
          <w:p>
            <w:pPr>
              <w:pStyle w:val="9"/>
              <w:keepNext w:val="0"/>
              <w:keepLines w:val="0"/>
              <w:widowControl/>
              <w:suppressLineNumbers w:val="0"/>
            </w:pP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公开05表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071" w:type="pct"/>
            <w:gridSpan w:val="5"/>
            <w:shd w:val="clear"/>
            <w:vAlign w:val="center"/>
          </w:tcPr>
          <w:p>
            <w:pPr>
              <w:pStyle w:val="9"/>
              <w:keepNext w:val="0"/>
              <w:keepLines w:val="0"/>
              <w:widowControl/>
              <w:suppressLineNumbers w:val="0"/>
              <w:jc w:val="left"/>
            </w:pPr>
          </w:p>
        </w:tc>
        <w:tc>
          <w:tcPr>
            <w:tcW w:w="1928"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89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107"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1,810.68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584.01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1,226.67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社会保障和就业支出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行政事业单位养老支出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57.56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2080505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57.06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57.06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2080506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机关事业单位职业年金缴费支出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0.50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卫生健康支出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行政事业单位医疗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30.93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行政单位医疗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27.20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27.20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2101103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城乡社区管理事务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2120101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农林水支出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农业农村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2130124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农村房屋不动产登记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390.09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自然资源海洋气象等支出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1,286.31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449.73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836.58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自然资源事务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1,286.31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449.73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836.58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行政运行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418.47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418.47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2200104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自然资源规划及管理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2200106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自然资源利用与保护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747.65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747.65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2200199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其他自然资源事务支出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104.19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31.26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72.93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住房保障支出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住房改革支出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24"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2210201 </w:t>
            </w:r>
          </w:p>
        </w:tc>
        <w:tc>
          <w:tcPr>
            <w:tcW w:w="168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96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8"/>
        <w:gridCol w:w="3380"/>
        <w:gridCol w:w="1726"/>
        <w:gridCol w:w="719"/>
        <w:gridCol w:w="2659"/>
        <w:gridCol w:w="1726"/>
        <w:gridCol w:w="722"/>
        <w:gridCol w:w="26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一般公共预算财政拨款基本支出决算表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shd w:val="clear"/>
            <w:vAlign w:val="center"/>
          </w:tcPr>
          <w:p>
            <w:pPr>
              <w:pStyle w:val="9"/>
              <w:keepNext w:val="0"/>
              <w:keepLines w:val="0"/>
              <w:widowControl/>
              <w:suppressLineNumbers w:val="0"/>
            </w:pPr>
          </w:p>
        </w:tc>
        <w:tc>
          <w:tcPr>
            <w:tcW w:w="1053"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829" w:type="pct"/>
            <w:shd w:val="clear"/>
            <w:vAlign w:val="center"/>
          </w:tcPr>
          <w:p>
            <w:pPr>
              <w:pStyle w:val="9"/>
              <w:keepNext w:val="0"/>
              <w:keepLines w:val="0"/>
              <w:widowControl/>
              <w:suppressLineNumbers w:val="0"/>
            </w:pPr>
          </w:p>
        </w:tc>
        <w:tc>
          <w:tcPr>
            <w:tcW w:w="538" w:type="pct"/>
            <w:shd w:val="clear"/>
            <w:vAlign w:val="center"/>
          </w:tcPr>
          <w:p>
            <w:pPr>
              <w:pStyle w:val="9"/>
              <w:keepNext w:val="0"/>
              <w:keepLines w:val="0"/>
              <w:widowControl/>
              <w:suppressLineNumbers w:val="0"/>
            </w:pPr>
          </w:p>
        </w:tc>
        <w:tc>
          <w:tcPr>
            <w:tcW w:w="224" w:type="pct"/>
            <w:shd w:val="clear"/>
            <w:vAlign w:val="center"/>
          </w:tcPr>
          <w:p>
            <w:pPr>
              <w:pStyle w:val="9"/>
              <w:keepNext w:val="0"/>
              <w:keepLines w:val="0"/>
              <w:widowControl/>
              <w:suppressLineNumbers w:val="0"/>
            </w:pP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公开06表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632" w:type="pct"/>
            <w:gridSpan w:val="7"/>
            <w:shd w:val="clear"/>
            <w:vAlign w:val="center"/>
          </w:tcPr>
          <w:p>
            <w:pPr>
              <w:pStyle w:val="9"/>
              <w:keepNext w:val="0"/>
              <w:keepLines w:val="0"/>
              <w:widowControl/>
              <w:suppressLineNumbers w:val="0"/>
              <w:jc w:val="left"/>
            </w:pPr>
          </w:p>
        </w:tc>
        <w:tc>
          <w:tcPr>
            <w:tcW w:w="1367" w:type="pct"/>
            <w:gridSpan w:val="2"/>
            <w:shd w:val="clear"/>
            <w:vAlign w:val="center"/>
          </w:tcPr>
          <w:p>
            <w:pPr>
              <w:pStyle w:val="9"/>
              <w:keepNext w:val="0"/>
              <w:keepLines w:val="0"/>
              <w:widowControl/>
              <w:suppressLineNumbers w:val="0"/>
              <w:jc w:val="right"/>
            </w:pPr>
            <w:r>
              <w:rPr>
                <w:rFonts w:ascii="宋体" w:hAnsi="宋体" w:eastAsia="宋体" w:cs="宋体"/>
                <w:b w:val="0"/>
                <w:bCs w:val="0"/>
                <w:sz w:val="18"/>
                <w:szCs w:val="18"/>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816"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人员经费 </w:t>
            </w:r>
          </w:p>
        </w:tc>
        <w:tc>
          <w:tcPr>
            <w:tcW w:w="3183"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公用经费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工资福利支出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483.44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商品和服务支出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96.13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债务利息及费用支出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基本工资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162.81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5.42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国内债务付息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津贴补贴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53.65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印刷费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30702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国外债务付息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98.78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咨询费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5.28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310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资本性支出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3.72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30106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伙食补助费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8.73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手续费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房屋建筑物购建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30107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绩效工资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办公设备购置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30108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机关事业单位基本养老保险缴费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57.06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电费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专用设备购置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30109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职业年金缴费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0.64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邮电费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0.40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基础设施建设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30110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职工基本医疗保险缴费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31.43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取暖费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大型修缮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公务员医疗补助缴费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22.00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30209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物业管理费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信息网络及软件购置更新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其他社会保障缴费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差旅费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0.96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物资储备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住房公积金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42.79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因公出国（境）费用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31009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土地补偿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30114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维修（护）费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3.88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安置补助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30199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其他工资福利支出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2.79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租赁费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地上附着物和青苗补偿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0.72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会议费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拆迁补偿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离休费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培训费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0.25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31013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30302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退休费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公务接待费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0.89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31019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其他交通工具购置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30303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退职（役）费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30218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专用材料费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文物和陈列品购置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30304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抚恤金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30224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被装购置费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31022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无形资产购置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30305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生活补助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30225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专用燃料费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31099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其他资本性支出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30306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救济费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劳务费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12.47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399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bCs/>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30307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医疗费补助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委托业务费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37.34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39906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赠与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30308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助学金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工会经费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1.71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39907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国家赔偿费用支出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30309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奖励金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0.72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30229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福利费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1.81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39908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对民间非营利组织和群众性自治组织补贴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30310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个人农业生产补贴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30231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公务用车运行维护费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39999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30311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代缴社会保险费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30239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其他交通费用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3.05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30399 </w:t>
            </w: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其他对个人和家庭的补助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30240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税金及附加费用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105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30299 </w:t>
            </w: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其他商品和服务支出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18.93 </w:t>
            </w:r>
          </w:p>
        </w:tc>
        <w:tc>
          <w:tcPr>
            <w:tcW w:w="22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829"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78" w:type="pct"/>
            <w:gridSpan w:val="2"/>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人员经费合计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2645" w:type="pct"/>
            <w:gridSpan w:val="5"/>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bCs/>
                <w:sz w:val="22"/>
                <w:szCs w:val="22"/>
              </w:rPr>
              <w:t xml:space="preserve">公用经费合计 </w:t>
            </w:r>
          </w:p>
        </w:tc>
        <w:tc>
          <w:tcPr>
            <w:tcW w:w="53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000" w:type="pct"/>
            <w:gridSpan w:val="9"/>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注：本表反映部门本年度一般公共预算财政拨款基本支出明细情况。本单位没有一般公共预算财政拨款收入，也没有使用一般公共预算财政拨款安排的支出，故本表无数据。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4"/>
        <w:gridCol w:w="1334"/>
        <w:gridCol w:w="1334"/>
        <w:gridCol w:w="1334"/>
        <w:gridCol w:w="1341"/>
        <w:gridCol w:w="1347"/>
        <w:gridCol w:w="1334"/>
        <w:gridCol w:w="1334"/>
        <w:gridCol w:w="1334"/>
        <w:gridCol w:w="1342"/>
        <w:gridCol w:w="133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一般公共预算财政拨款“三公”经费支出决算表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416" w:type="pct"/>
            <w:shd w:val="clear"/>
            <w:vAlign w:val="center"/>
          </w:tcPr>
          <w:p>
            <w:pPr>
              <w:pStyle w:val="9"/>
              <w:keepNext w:val="0"/>
              <w:keepLines w:val="0"/>
              <w:widowControl/>
              <w:suppressLineNumbers w:val="0"/>
            </w:pP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公开07表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6" w:type="pct"/>
            <w:gridSpan w:val="10"/>
            <w:shd w:val="clear"/>
            <w:vAlign w:val="center"/>
          </w:tcPr>
          <w:p>
            <w:pPr>
              <w:pStyle w:val="9"/>
              <w:keepNext w:val="0"/>
              <w:keepLines w:val="0"/>
              <w:widowControl/>
              <w:suppressLineNumbers w:val="0"/>
              <w:jc w:val="left"/>
            </w:pPr>
          </w:p>
        </w:tc>
        <w:tc>
          <w:tcPr>
            <w:tcW w:w="833"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预算数 </w:t>
            </w:r>
          </w:p>
        </w:tc>
        <w:tc>
          <w:tcPr>
            <w:tcW w:w="2500" w:type="pct"/>
            <w:gridSpan w:val="6"/>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决算数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因公出国（境）费 </w:t>
            </w:r>
          </w:p>
        </w:tc>
        <w:tc>
          <w:tcPr>
            <w:tcW w:w="125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公务用车购置及运行费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公务接待费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公务用车购置费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公务用车运行费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7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8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11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2.00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0.89 </w:t>
            </w: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416"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2"/>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数误差。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3"/>
        <w:gridCol w:w="334"/>
        <w:gridCol w:w="334"/>
        <w:gridCol w:w="3458"/>
        <w:gridCol w:w="1180"/>
        <w:gridCol w:w="1969"/>
        <w:gridCol w:w="1075"/>
        <w:gridCol w:w="1527"/>
        <w:gridCol w:w="1517"/>
        <w:gridCol w:w="4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10"/>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政府性基金预算财政拨款收入支出决算表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04" w:type="pct"/>
            <w:shd w:val="clear"/>
            <w:vAlign w:val="center"/>
          </w:tcPr>
          <w:p>
            <w:pPr>
              <w:pStyle w:val="9"/>
              <w:keepNext w:val="0"/>
              <w:keepLines w:val="0"/>
              <w:widowControl/>
              <w:suppressLineNumbers w:val="0"/>
            </w:pPr>
          </w:p>
        </w:tc>
        <w:tc>
          <w:tcPr>
            <w:tcW w:w="104" w:type="pct"/>
            <w:shd w:val="clear"/>
            <w:vAlign w:val="center"/>
          </w:tcPr>
          <w:p>
            <w:pPr>
              <w:pStyle w:val="9"/>
              <w:keepNext w:val="0"/>
              <w:keepLines w:val="0"/>
              <w:widowControl/>
              <w:suppressLineNumbers w:val="0"/>
            </w:pPr>
          </w:p>
        </w:tc>
        <w:tc>
          <w:tcPr>
            <w:tcW w:w="104" w:type="pct"/>
            <w:shd w:val="clear"/>
            <w:vAlign w:val="center"/>
          </w:tcPr>
          <w:p>
            <w:pPr>
              <w:pStyle w:val="9"/>
              <w:keepNext w:val="0"/>
              <w:keepLines w:val="0"/>
              <w:widowControl/>
              <w:suppressLineNumbers w:val="0"/>
            </w:pPr>
          </w:p>
        </w:tc>
        <w:tc>
          <w:tcPr>
            <w:tcW w:w="1078" w:type="pct"/>
            <w:shd w:val="clear"/>
            <w:vAlign w:val="center"/>
          </w:tcPr>
          <w:p>
            <w:pPr>
              <w:pStyle w:val="9"/>
              <w:keepNext w:val="0"/>
              <w:keepLines w:val="0"/>
              <w:widowControl/>
              <w:suppressLineNumbers w:val="0"/>
            </w:pPr>
          </w:p>
        </w:tc>
        <w:tc>
          <w:tcPr>
            <w:tcW w:w="368" w:type="pct"/>
            <w:shd w:val="clear"/>
            <w:vAlign w:val="center"/>
          </w:tcPr>
          <w:p>
            <w:pPr>
              <w:pStyle w:val="9"/>
              <w:keepNext w:val="0"/>
              <w:keepLines w:val="0"/>
              <w:widowControl/>
              <w:suppressLineNumbers w:val="0"/>
            </w:pPr>
          </w:p>
        </w:tc>
        <w:tc>
          <w:tcPr>
            <w:tcW w:w="614" w:type="pct"/>
            <w:shd w:val="clear"/>
            <w:vAlign w:val="center"/>
          </w:tcPr>
          <w:p>
            <w:pPr>
              <w:pStyle w:val="9"/>
              <w:keepNext w:val="0"/>
              <w:keepLines w:val="0"/>
              <w:widowControl/>
              <w:suppressLineNumbers w:val="0"/>
            </w:pPr>
          </w:p>
        </w:tc>
        <w:tc>
          <w:tcPr>
            <w:tcW w:w="335" w:type="pct"/>
            <w:shd w:val="clear"/>
            <w:vAlign w:val="center"/>
          </w:tcPr>
          <w:p>
            <w:pPr>
              <w:pStyle w:val="9"/>
              <w:keepNext w:val="0"/>
              <w:keepLines w:val="0"/>
              <w:widowControl/>
              <w:suppressLineNumbers w:val="0"/>
            </w:pPr>
          </w:p>
        </w:tc>
        <w:tc>
          <w:tcPr>
            <w:tcW w:w="473" w:type="pct"/>
            <w:shd w:val="clear"/>
            <w:vAlign w:val="center"/>
          </w:tcPr>
          <w:p>
            <w:pPr>
              <w:pStyle w:val="9"/>
              <w:keepNext w:val="0"/>
              <w:keepLines w:val="0"/>
              <w:widowControl/>
              <w:suppressLineNumbers w:val="0"/>
            </w:pPr>
          </w:p>
        </w:tc>
        <w:tc>
          <w:tcPr>
            <w:tcW w:w="181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公开08表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83" w:type="pct"/>
            <w:gridSpan w:val="8"/>
            <w:shd w:val="clear"/>
            <w:vAlign w:val="center"/>
          </w:tcPr>
          <w:p>
            <w:pPr>
              <w:pStyle w:val="9"/>
              <w:keepNext w:val="0"/>
              <w:keepLines w:val="0"/>
              <w:widowControl/>
              <w:suppressLineNumbers w:val="0"/>
              <w:jc w:val="left"/>
            </w:pPr>
          </w:p>
        </w:tc>
        <w:tc>
          <w:tcPr>
            <w:tcW w:w="181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年初结转和结余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本年收入 </w:t>
            </w:r>
          </w:p>
        </w:tc>
        <w:tc>
          <w:tcPr>
            <w:tcW w:w="1281"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小计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4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5 </w:t>
            </w: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90"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625.00 </w:t>
            </w: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0.00 </w:t>
            </w: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bCs/>
                <w:sz w:val="22"/>
                <w:szCs w:val="22"/>
              </w:rPr>
              <w:t xml:space="preserve">625.00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234 </w:t>
            </w: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抗疫特别国债安排的支出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23402 </w:t>
            </w: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抗疫相关支出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2"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2340299 </w:t>
            </w:r>
          </w:p>
        </w:tc>
        <w:tc>
          <w:tcPr>
            <w:tcW w:w="107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left"/>
            </w:pPr>
            <w:r>
              <w:rPr>
                <w:rFonts w:ascii="宋体" w:hAnsi="宋体" w:eastAsia="宋体" w:cs="宋体"/>
                <w:b w:val="0"/>
                <w:bCs w:val="0"/>
                <w:sz w:val="22"/>
                <w:szCs w:val="22"/>
              </w:rPr>
              <w:t xml:space="preserve">其他抗疫相关支出 </w:t>
            </w:r>
          </w:p>
        </w:tc>
        <w:tc>
          <w:tcPr>
            <w:tcW w:w="368"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614"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c>
          <w:tcPr>
            <w:tcW w:w="335"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47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0.00 </w:t>
            </w:r>
          </w:p>
        </w:tc>
        <w:tc>
          <w:tcPr>
            <w:tcW w:w="13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r>
              <w:rPr>
                <w:rFonts w:ascii="宋体" w:hAnsi="宋体" w:eastAsia="宋体" w:cs="宋体"/>
                <w:b w:val="0"/>
                <w:bCs w:val="0"/>
                <w:sz w:val="22"/>
                <w:szCs w:val="22"/>
              </w:rPr>
              <w:t xml:space="preserve">625.00 </w:t>
            </w:r>
          </w:p>
        </w:tc>
      </w:tr>
    </w:tbl>
    <w:p>
      <w:pPr>
        <w:pStyle w:val="9"/>
        <w:keepNext w:val="0"/>
        <w:keepLines w:val="0"/>
        <w:widowControl/>
        <w:suppressLineNumbers w:val="0"/>
      </w:pPr>
    </w:p>
    <w:p>
      <w:pPr>
        <w:spacing w:before="0" w:beforeAutospacing="0" w:after="2" w:afterAutospacing="0"/>
        <w:ind w:left="0" w:right="0"/>
        <w:jc w:val="center"/>
        <w:rPr>
          <w:sz w:val="21"/>
          <w:szCs w:val="21"/>
        </w:rPr>
      </w:pPr>
    </w:p>
    <w:tbl>
      <w:tblPr>
        <w:tblW w:w="50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9"/>
        <w:gridCol w:w="529"/>
        <w:gridCol w:w="532"/>
        <w:gridCol w:w="6329"/>
        <w:gridCol w:w="2707"/>
        <w:gridCol w:w="2704"/>
        <w:gridCol w:w="2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5000" w:type="pct"/>
            <w:gridSpan w:val="7"/>
            <w:shd w:val="clear"/>
            <w:vAlign w:val="center"/>
          </w:tcPr>
          <w:p>
            <w:pPr>
              <w:pStyle w:val="9"/>
              <w:keepNext w:val="0"/>
              <w:keepLines w:val="0"/>
              <w:widowControl/>
              <w:suppressLineNumbers w:val="0"/>
              <w:jc w:val="center"/>
            </w:pPr>
            <w:r>
              <w:rPr>
                <w:rFonts w:ascii="宋体" w:hAnsi="宋体" w:eastAsia="宋体" w:cs="宋体"/>
                <w:b w:val="0"/>
                <w:bCs w:val="0"/>
                <w:sz w:val="40"/>
                <w:szCs w:val="40"/>
              </w:rPr>
              <w:t xml:space="preserve">国有资本经营预算财政拨款支出决算表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165"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165" w:type="pct"/>
            <w:shd w:val="clear"/>
            <w:vAlign w:val="center"/>
          </w:tcPr>
          <w:p>
            <w:pPr>
              <w:pStyle w:val="9"/>
              <w:keepNext w:val="0"/>
              <w:keepLines w:val="0"/>
              <w:widowControl/>
              <w:suppressLineNumbers w:val="0"/>
            </w:pPr>
          </w:p>
        </w:tc>
        <w:tc>
          <w:tcPr>
            <w:tcW w:w="1972" w:type="pct"/>
            <w:shd w:val="clear"/>
            <w:vAlign w:val="center"/>
          </w:tcPr>
          <w:p>
            <w:pPr>
              <w:pStyle w:val="9"/>
              <w:keepNext w:val="0"/>
              <w:keepLines w:val="0"/>
              <w:widowControl/>
              <w:suppressLineNumbers w:val="0"/>
            </w:pPr>
          </w:p>
        </w:tc>
        <w:tc>
          <w:tcPr>
            <w:tcW w:w="843" w:type="pct"/>
            <w:shd w:val="clear"/>
            <w:vAlign w:val="center"/>
          </w:tcPr>
          <w:p>
            <w:pPr>
              <w:pStyle w:val="9"/>
              <w:keepNext w:val="0"/>
              <w:keepLines w:val="0"/>
              <w:widowControl/>
              <w:suppressLineNumbers w:val="0"/>
            </w:pPr>
          </w:p>
        </w:tc>
        <w:tc>
          <w:tcPr>
            <w:tcW w:w="168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公开09表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313" w:type="pct"/>
            <w:gridSpan w:val="5"/>
            <w:shd w:val="clear"/>
            <w:vAlign w:val="center"/>
          </w:tcPr>
          <w:p>
            <w:pPr>
              <w:pStyle w:val="9"/>
              <w:keepNext w:val="0"/>
              <w:keepLines w:val="0"/>
              <w:widowControl/>
              <w:suppressLineNumbers w:val="0"/>
              <w:jc w:val="left"/>
            </w:pPr>
          </w:p>
        </w:tc>
        <w:tc>
          <w:tcPr>
            <w:tcW w:w="1686" w:type="pct"/>
            <w:gridSpan w:val="2"/>
            <w:shd w:val="clear"/>
            <w:vAlign w:val="center"/>
          </w:tcPr>
          <w:p>
            <w:pPr>
              <w:pStyle w:val="9"/>
              <w:keepNext w:val="0"/>
              <w:keepLines w:val="0"/>
              <w:widowControl/>
              <w:suppressLineNumbers w:val="0"/>
              <w:jc w:val="right"/>
            </w:pPr>
            <w:r>
              <w:rPr>
                <w:rFonts w:ascii="宋体" w:hAnsi="宋体" w:eastAsia="宋体" w:cs="宋体"/>
                <w:b w:val="0"/>
                <w:bCs w:val="0"/>
                <w:sz w:val="20"/>
                <w:szCs w:val="20"/>
              </w:rPr>
              <w:t xml:space="preserve">金额单位：万元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 </w:t>
            </w:r>
          </w:p>
        </w:tc>
        <w:tc>
          <w:tcPr>
            <w:tcW w:w="2530" w:type="pct"/>
            <w:gridSpan w:val="3"/>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本年支出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功能分类科目编码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科目名称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基本支出 </w:t>
            </w:r>
          </w:p>
        </w:tc>
        <w:tc>
          <w:tcPr>
            <w:tcW w:w="0" w:type="pct"/>
            <w:vMerge w:val="restar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496" w:type="pct"/>
            <w:gridSpan w:val="3"/>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c>
          <w:tcPr>
            <w:tcW w:w="0" w:type="pct"/>
            <w:vMerge w:val="continue"/>
            <w:tcBorders>
              <w:top w:val="single" w:color="666666" w:sz="6" w:space="0"/>
              <w:left w:val="single" w:color="666666" w:sz="6" w:space="0"/>
              <w:bottom w:val="single" w:color="666666" w:sz="6" w:space="0"/>
              <w:right w:val="single" w:color="666666" w:sz="6" w:space="0"/>
            </w:tcBorders>
            <w:shd w:val="clear"/>
            <w:vAlign w:val="center"/>
          </w:tcPr>
          <w:p>
            <w:pPr>
              <w:rPr>
                <w:rFonts w:hint="eastAsia" w:ascii="宋体" w:hAnsi="宋体" w:eastAsia="宋体" w:cs="宋体"/>
                <w:b w:val="0"/>
                <w:bCs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栏次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1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2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2469" w:type="pct"/>
            <w:gridSpan w:val="4"/>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center"/>
            </w:pPr>
            <w:r>
              <w:rPr>
                <w:rFonts w:ascii="宋体" w:hAnsi="宋体" w:eastAsia="宋体" w:cs="宋体"/>
                <w:b w:val="0"/>
                <w:bCs w:val="0"/>
                <w:sz w:val="22"/>
                <w:szCs w:val="22"/>
              </w:rPr>
              <w:t xml:space="preserve">合计 </w:t>
            </w: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c>
          <w:tcPr>
            <w:tcW w:w="843" w:type="pct"/>
            <w:tcBorders>
              <w:top w:val="single" w:color="666666" w:sz="6" w:space="0"/>
              <w:left w:val="single" w:color="666666" w:sz="6" w:space="0"/>
              <w:bottom w:val="single" w:color="666666" w:sz="6" w:space="0"/>
              <w:right w:val="single" w:color="666666" w:sz="6" w:space="0"/>
            </w:tcBorders>
            <w:shd w:val="clear"/>
            <w:vAlign w:val="center"/>
          </w:tcPr>
          <w:p>
            <w:pPr>
              <w:pStyle w:val="9"/>
              <w:keepNext w:val="0"/>
              <w:keepLines w:val="0"/>
              <w:widowControl/>
              <w:suppressLineNumbers w:val="0"/>
              <w:jc w:val="righ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0" w:type="auto"/>
            <w:gridSpan w:val="7"/>
            <w:shd w:val="clear"/>
            <w:vAlign w:val="center"/>
          </w:tcPr>
          <w:p>
            <w:pPr>
              <w:keepNext w:val="0"/>
              <w:keepLines w:val="0"/>
              <w:widowControl/>
              <w:suppressLineNumbers w:val="0"/>
              <w:jc w:val="left"/>
              <w:rPr>
                <w:rFonts w:ascii="宋体" w:hAnsi="宋体" w:eastAsia="宋体" w:cs="宋体"/>
                <w:sz w:val="22"/>
                <w:szCs w:val="22"/>
              </w:rPr>
            </w:pPr>
            <w:r>
              <w:rPr>
                <w:rFonts w:ascii="宋体" w:hAnsi="宋体" w:eastAsia="宋体" w:cs="宋体"/>
                <w:sz w:val="22"/>
                <w:szCs w:val="22"/>
              </w:rPr>
              <w:t xml:space="preserve">本单位没有国有资本经营预算财政拨款收入，也没有使用国有资本经营预算财政拨款安排的支出，故本表无数据。 </w:t>
            </w:r>
          </w:p>
        </w:tc>
      </w:tr>
    </w:tbl>
    <w:p>
      <w:pPr>
        <w:pStyle w:val="9"/>
        <w:keepNext w:val="0"/>
        <w:keepLines w:val="0"/>
        <w:widowControl/>
        <w:suppressLineNumbers w:val="0"/>
      </w:pPr>
    </w:p>
    <w:p>
      <w:pPr>
        <w:rPr>
          <w:color w:val="000000"/>
        </w:rPr>
        <w:sectPr>
          <w:pgSz w:w="16838" w:h="11906"/>
          <w:pgMar w:top="1080" w:right="400" w:bottom="1080" w:left="400" w:header="851" w:footer="992" w:gutter="0"/>
          <w:paperSrc/>
          <w:cols w:space="0" w:num="1"/>
          <w:docGrid w:type="linesAndChars" w:linePitch="160" w:charSpace="0"/>
        </w:sectPr>
      </w:pPr>
    </w:p>
    <w:p>
      <w:pPr>
        <w:spacing w:before="0" w:beforeAutospacing="0" w:after="2" w:afterAutospacing="0"/>
        <w:jc w:val="center"/>
        <w:rPr>
          <w:sz w:val="21"/>
          <w:szCs w:val="21"/>
        </w:rPr>
      </w:pPr>
      <w:r>
        <w:rPr>
          <w:rFonts w:hint="eastAsia" w:ascii="宋体" w:hAnsi="宋体" w:eastAsia="宋体" w:cs="宋体"/>
          <w:b/>
          <w:bCs/>
          <w:color w:val="000000"/>
          <w:sz w:val="36"/>
          <w:szCs w:val="36"/>
        </w:rPr>
        <w:t>第三部分 2020年度部门决算情况说明</w:t>
      </w:r>
      <w:r>
        <w:rPr>
          <w:color w:val="000000"/>
          <w:sz w:val="21"/>
          <w:szCs w:val="21"/>
        </w:rPr>
        <w:t xml:space="preserve"> </w:t>
      </w:r>
    </w:p>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一、收入支出决算总体情况说明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2020年度收、支总计5,353.43万元。与上一年度相比，收、支总计各增加3,612.47万元，增长207.5%。主要是因为2019年本单位预决算属市财政管理，2020年预决算划为区财政管理，故数据差异较大。</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二、收入决算情况说明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2020年度收入合计5,120.97万元，其中：财政拨款收入4,649.81万元，占90.8%；上级补助收入0万元，占0%；事业收入0万元，占0%；经营收入0万元，占0%；附属单位上缴收入0万元，占0%；其他收入471.16万元，占9.2%。</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三、支出决算情况说明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2020年度支出合计2,366.35万元，其中：基本支出973.76万元，占41.15%；项目支出1,392.59万元，占58.85%；上缴上级支出0万元，占0%；经营支出0万元，占0%；对附属单位补助支出0万元，占0%。</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四、财政拨款收入支出决算总体情况说明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2020年度财政拨款收、支总计4,649.81万元。与上一年度相比，财政拨款收、支总计各增加4,649.81万元，增长100%。主要是因为2019年本单位预决算属市财政管理，2020年预决算划为区财政管理，故数据差异较大。</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五、一般公共预算财政拨款支出决算情况说明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（一）财政拨款支出决算总体情况</w:t>
      </w:r>
      <w:r>
        <w:rPr>
          <w:color w:val="000000"/>
          <w:sz w:val="27"/>
          <w:szCs w:val="27"/>
        </w:rPr>
        <w:t xml:space="preserve"> </w:t>
      </w:r>
    </w:p>
    <w:p>
      <w:pPr>
        <w:pStyle w:val="14"/>
        <w:spacing w:before="0" w:beforeAutospacing="0" w:after="2" w:afterAutospacing="0"/>
        <w:ind w:left="0" w:firstLine="855"/>
        <w:rPr>
          <w:sz w:val="27"/>
          <w:szCs w:val="27"/>
        </w:rPr>
      </w:pPr>
      <w:r>
        <w:rPr>
          <w:rFonts w:hint="eastAsia" w:ascii="宋体" w:hAnsi="宋体" w:eastAsia="宋体" w:cs="宋体"/>
          <w:color w:val="000000"/>
          <w:sz w:val="32"/>
          <w:szCs w:val="32"/>
        </w:rPr>
        <w:t>2020年度财政拨款支出1,810.68万元，占本年支出合计的76.52%。与上一年度相比，财政拨款支出增加1,433.09万元，增长379.54%。主要是因为2019年本单位预决算属市财政管理，2020年预决算划为区财政管理，故数据差异较大。</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（二）财政拨款支出决算结构情况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财政拨款支出1,810.68万元，主要用于以下方面：社会保障和就业支出57.56万元，占3.18%；卫生健康支出30.93万元，占1.71%；城乡社区支出3万元，占0.17%；农林水支出390.09万元，占21.54%；自然资源海洋气象等支出1,286.31万元，占71.04%；住房保障支出42.79万元，占2.36%。</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（三）财政拨款支出决算具体情况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2020年度财政拨款支出年初预算数为552.72万元，支出决算数为1,810.68万元，完成年初预算的327.59%，其中：</w:t>
      </w:r>
      <w:r>
        <w:rPr>
          <w:color w:val="000000"/>
          <w:sz w:val="27"/>
          <w:szCs w:val="27"/>
        </w:rPr>
        <w:t xml:space="preserve"> </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1、社会保障和就业支出（类）行政事业单位养老支出（款）机关事业单位基本养老保险缴费支出（项）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年初预算为57.06万元，支出决算为57.06万元，完成年初预算的100%。决算数与年初预算数一致，我单位严格按预算执行决算。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2、社会保障和就业支出（类）行政事业单位养老支出（款）机关事业单位职业年金缴费支出（项）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年初预算为0.5万元，支出决算为0.5万元，完成年初预算的100%。决算数与年初预算数一致，我单位严格按预算执行决算。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3、卫生健康支出（类）行政事业单位医疗（款）行政单位医疗（项）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年初预算为27.2万元，支出决算为27.2万元，完成年初预算的100%。决算数与年初预算数一致，我单位严格按预算执行决算。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4、卫生健康支出（类）行政事业单位医疗（款）公务员医疗补助（项）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年初预算为3.73万元，支出决算为3.73万元，完成年初预算的100%。决算数与年初预算数一致，我单位严格按预算执行决算。</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5、城乡社区支出（类）城乡社区管理事务（款）行政运行（项）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年初预算为0万元，支出决算为3万元，超出年初预算的100%。决算数大于年初预算数的主要原因是：财政拨付2019年城市维护资金“城乡规划引导资金”3万元。</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6、农林水支出（类）农业农村（款）农村房屋不动产登记（项）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年初预算为0万元，支出决算为390.09万元，超出年初预算的100%。决算数大于年初预算数的主要原因是：财政拨付农村房屋不动产登记项目资金。</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7、自然资源海洋气象等支出（类）自然资源事务（款）行政运行（项）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年初预算为421.44万元，支出决算为418.47万元，完成年初预算的99.3%。决算数小于年初预算数的主要原因是：严格按照内控制度，精简开支。</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8、自然资源海洋气象等支出（类）自然资源事务（款）自然资源规划及管理（项）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年初预算为0万元，支出决算为16万元，超出年初预算的100%。决算数大于年初预算数的主要原因是：财政拨付2019年“多规合一”村庄规划试点项目资金（紫微村）。</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9、自然资源海洋气象等支出（类）自然资源事务（款）自然资源利用与保护（项）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747.65万元，超出年初预算的100%。决算数大于年初预算数的主要原因是：财政拨付省投资历史遗留和自然灾害损（新桥河镇龙光桥村）72.65万元及2019年市级土地综合整治项目资金675万元。</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10、自然资源海洋气象等支出（类）自然资源事务（款）其他自然资源事务支出（项）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年初预算为0万元，支出决算为104.19万元，超出年初预算的100%。决算数大于年初预算数的主要原因是：财政拨付2019年国土空间生态修复项目资金72.93万元及2020年非税收入31.25万元。</w:t>
      </w:r>
    </w:p>
    <w:p>
      <w:pPr>
        <w:pStyle w:val="14"/>
        <w:spacing w:before="0" w:beforeAutospacing="0" w:after="2" w:afterAutospacing="0"/>
        <w:ind w:left="0" w:firstLine="641"/>
        <w:rPr>
          <w:sz w:val="27"/>
          <w:szCs w:val="27"/>
        </w:rPr>
      </w:pPr>
      <w:r>
        <w:rPr>
          <w:rStyle w:val="12"/>
          <w:rFonts w:hint="eastAsia" w:ascii="宋体" w:hAnsi="宋体" w:eastAsia="宋体" w:cs="宋体"/>
          <w:color w:val="000000"/>
          <w:sz w:val="32"/>
          <w:szCs w:val="32"/>
        </w:rPr>
        <w:t>11、住房保障支出（类）住房改革支出（款）住房公积金（项）</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年初预算为42.79万元，支出决算为42.79万元，完成年初预算的100%。决算数与年初预算数一致，我单位严格按预算执行决算。</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六、一般公共预算财政拨款基本支出决算情况说明</w:t>
      </w:r>
      <w:r>
        <w:rPr>
          <w:color w:val="000000"/>
          <w:sz w:val="27"/>
          <w:szCs w:val="27"/>
        </w:rPr>
        <w:t xml:space="preserve"> </w:t>
      </w:r>
    </w:p>
    <w:p>
      <w:pPr>
        <w:pStyle w:val="14"/>
        <w:spacing w:before="0" w:beforeAutospacing="0" w:after="2" w:afterAutospacing="0"/>
        <w:ind w:left="0" w:firstLine="420"/>
        <w:rPr>
          <w:sz w:val="27"/>
          <w:szCs w:val="27"/>
        </w:rPr>
      </w:pPr>
      <w:r>
        <w:rPr>
          <w:rFonts w:hint="eastAsia" w:ascii="宋体" w:hAnsi="宋体" w:eastAsia="宋体" w:cs="宋体"/>
          <w:color w:val="000000"/>
          <w:sz w:val="32"/>
          <w:szCs w:val="32"/>
        </w:rPr>
        <w:t> 2020年度财政拨款基本支出584.01万元，其中：人员经费0万元，占基本支出的0%，主要包括：基本工资、津贴补贴、奖金、伙食补助费、机关事业单位基本养老保险缴费、职业年金缴费、职工基本医疗保险缴费、公务员医疗补助缴费、其他社会保障缴费、住房公积金、其他工资福利支出、奖励金。公用经费0万元，占基本支出的0%，主要包括：办公设备购置、其他资本性支出、办公费、印刷费、咨询费、电费、邮电费、差旅费、维修（护）费、培训费、公务接待费、劳务费、委托业务费、工会经费、福利费、其他交通费用、其他商品和服务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七、一般公共预算财政拨款三公经费支出决算情况说明</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（一）“三公”经费财政拨款支出决算总体情况说明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2020年度“三公”经费财政拨款支出预算为2万元，支出决算为0.89万元，完成预算的44.5%，其中：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因公出国（境）费支出预算为0万元，支出决算为0万元，决算数与预算数一致，我单位严格按预算执行决算，因公出国（境）费支出与上年持平。</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公务接待费支出预算为2万元，支出决算为0.89万元，完成预算的44.5%，决算数小于预算数的主要原因是严格按照内控制度，精简开支 ，与上年相比增加0.45万元，增长102.27%，增长的主要原因是2019年本单位预决算属市财政管理，2020年预决算划为区财政管理，故数据差异较大。</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公务用车购置费及运行维护费支出预算为0万元，支出决算为0万元，决算数与预算数一致，我单位严格按预算执行决算，与上年相比减少2.56万元，下降100%，下降的主要原因是截止2020年12月31日，我单位开支财政拨款的公务用车保有量为0辆。</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（二）“三公”经费财政拨款支出决算具体情况说明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2020年度“三公”经费财政拨款支出决算中，公务接待费支出决算0.89万元，占100%，因公出国（境）费支出决算0万元，占0%，公务用车购置费及运行维护费支出决算0万元，占0%。其中：</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1、因公出国（境）费支出决算为0万元，全年安排因公出国（境）团组0个，累计0人次，我单位2020年度无因公出国（境）费支出。</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2、公务接待费支出决算为0.89万元，全年共接待来访团组15个、来宾70人次，主要是用于上级部门检查发生的接待支出。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3、公务用车购置费及运行维护费支出决算为0万元，其中：公务用车购置费0万元。公务用车运行维护费0万元，截至2020年12月31日，我单位开支财政拨款的公务用车保有量为1辆。我单位2020年度无公务用车购置费及运行维护费支出。</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八、政府性基金预算收入支出决算情况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2020年度政府性基金预算财政拨款收入625万元；年初结转和结余0万元；支出0万元，其中基本支出0万元，项目支出0万元；年末结转和结余625万元。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九、国有资本经营预算财政拨款支出决算情况</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color w:val="000000"/>
          <w:sz w:val="32"/>
          <w:szCs w:val="32"/>
        </w:rPr>
        <w:t xml:space="preserve">益阳市资阳区自然资源局2020年度没有国有资本经营预算财政拨款收入，也没有使用国有资本经营预算财政拨款安排的支出，并已公开空表。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十、关于机关运行经费支出说明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益阳市资阳区自然资源局2020年度机关运行经费支出99.85万元，比年初预算数增加30.63万元，增长44.25%。主要原因是：2019年本单位预决算属市财政管理，2020年预决算划为区财政管理，故数据差异较大。</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十一、一般性支出情况</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2020年度益阳市资阳区自然资源局一般性支出1,303.94万元，其中：会议费0万元，我单位2020年度无会议费支出；开支培训费0.25万元，用于开展反腐倡廉警示教育基地培训、地质灾害防治、不动产、用地审批等业务培训，人数14人；2020年度未使用一般公共预算财政拨款举办节庆、晚会、论坛、赛事活动。办公费5.42万元；印刷费29.12万元；咨询费5.28万元；水费0万元；电费2万元；邮电费0.4万元；取暖费0万元；物业管理费0万元；差旅费0.96万元；因公出国（境）费用0万元；维修（护）费3.88万元；租赁费0万元；公务接待费0.89万元；被装购置费0万元；劳务费12.47万元；委托业务费1,236.64万元；公务用车运行维护费0万元；其他交通费用3.05万元；房屋建筑物购建0万元；办公设备购置3.59万元；公务用车购置0万元；其他交通工具购置0万元。</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十二、关于政府采购支出说明</w:t>
      </w:r>
      <w:r>
        <w:rPr>
          <w:color w:val="000000"/>
          <w:sz w:val="27"/>
          <w:szCs w:val="27"/>
        </w:rPr>
        <w:t xml:space="preserve"> </w:t>
      </w:r>
    </w:p>
    <w:p>
      <w:pPr>
        <w:pStyle w:val="14"/>
        <w:spacing w:before="0" w:beforeAutospacing="0" w:after="2" w:afterAutospacing="0"/>
        <w:ind w:left="0" w:firstLine="640"/>
        <w:jc w:val="both"/>
        <w:rPr>
          <w:sz w:val="27"/>
          <w:szCs w:val="27"/>
        </w:rPr>
      </w:pPr>
      <w:r>
        <w:rPr>
          <w:rFonts w:hint="eastAsia" w:ascii="宋体" w:hAnsi="宋体" w:eastAsia="宋体" w:cs="宋体"/>
          <w:color w:val="000000"/>
          <w:sz w:val="32"/>
          <w:szCs w:val="32"/>
        </w:rPr>
        <w:t xml:space="preserve">益阳市资阳区自然资源局2020年度政府采购支出总额1,494.75万元，其中：政府采购货物支出5.8万元、政府采购工程支出44.91万元、政府采购服务支出1,444.04万元。授予中小企业合同金额1,494.75万元，占政府采购支出总额的100%，其中：授予小微企业合同金额1,494.75万元，占政府采购支出总额的100%。 </w:t>
      </w:r>
    </w:p>
    <w:p>
      <w:pPr>
        <w:pStyle w:val="14"/>
        <w:spacing w:before="0" w:beforeAutospacing="0" w:after="2" w:afterAutospacing="0"/>
        <w:ind w:left="0" w:firstLine="640"/>
        <w:rPr>
          <w:sz w:val="27"/>
          <w:szCs w:val="27"/>
        </w:rPr>
      </w:pPr>
      <w:r>
        <w:rPr>
          <w:rFonts w:hint="eastAsia" w:ascii="宋体" w:hAnsi="宋体" w:eastAsia="宋体" w:cs="宋体"/>
          <w:b/>
          <w:bCs/>
          <w:color w:val="000000"/>
          <w:sz w:val="32"/>
          <w:szCs w:val="32"/>
        </w:rPr>
        <w:t>十三、关于国有资产占用情况说明</w:t>
      </w:r>
      <w:r>
        <w:rPr>
          <w:color w:val="000000"/>
          <w:sz w:val="27"/>
          <w:szCs w:val="27"/>
        </w:rPr>
        <w:t xml:space="preserve"> </w:t>
      </w:r>
    </w:p>
    <w:p>
      <w:pPr>
        <w:pStyle w:val="14"/>
        <w:spacing w:before="0" w:beforeAutospacing="0" w:after="2" w:afterAutospacing="0"/>
        <w:ind w:left="0" w:firstLine="640"/>
        <w:rPr>
          <w:sz w:val="27"/>
          <w:szCs w:val="27"/>
        </w:rPr>
      </w:pPr>
      <w:r>
        <w:rPr>
          <w:rFonts w:hint="eastAsia" w:ascii="宋体" w:hAnsi="宋体" w:eastAsia="宋体" w:cs="宋体"/>
          <w:color w:val="000000"/>
          <w:sz w:val="32"/>
          <w:szCs w:val="32"/>
        </w:rPr>
        <w:t>截至2020年12月31日，益阳市资阳区自然资源局共有车辆</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辆（台），其中：副部（省）级及以上领导用车0辆、主要领导干部用车0辆、机要通信用车0辆、应急保障用车0辆、执法执勤用车0辆、特种专业技术用车0辆、离退休干部用车0辆、其他用车</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辆，其他用车主要是应急处置；单价50万元（含）以上通用设备0台（套），单价100万元（含）以上专用设备0台（套）。</w:t>
      </w:r>
      <w:r>
        <w:rPr>
          <w:color w:val="000000"/>
          <w:sz w:val="27"/>
          <w:szCs w:val="27"/>
        </w:rPr>
        <w:t xml:space="preserve"> </w:t>
      </w:r>
    </w:p>
    <w:p>
      <w:pPr>
        <w:pStyle w:val="14"/>
        <w:spacing w:before="0" w:beforeAutospacing="0" w:after="2" w:afterAutospacing="0"/>
        <w:ind w:left="0" w:firstLine="641"/>
        <w:rPr>
          <w:sz w:val="27"/>
          <w:szCs w:val="27"/>
        </w:rPr>
      </w:pPr>
      <w:r>
        <w:rPr>
          <w:rFonts w:hint="eastAsia" w:ascii="宋体" w:hAnsi="宋体" w:eastAsia="宋体" w:cs="宋体"/>
          <w:b/>
          <w:bCs/>
          <w:color w:val="000000"/>
          <w:sz w:val="32"/>
          <w:szCs w:val="32"/>
        </w:rPr>
        <w:t>十四、关于2020年度预算绩效情况说明</w:t>
      </w:r>
      <w:r>
        <w:rPr>
          <w:color w:val="000000"/>
          <w:sz w:val="27"/>
          <w:szCs w:val="27"/>
        </w:rPr>
        <w:t xml:space="preserve"> </w:t>
      </w:r>
    </w:p>
    <w:p>
      <w:pPr>
        <w:pStyle w:val="14"/>
        <w:spacing w:before="0" w:beforeAutospacing="0" w:after="2" w:afterAutospacing="0"/>
        <w:ind w:left="0" w:firstLine="640"/>
        <w:rPr>
          <w:sz w:val="27"/>
          <w:szCs w:val="27"/>
        </w:rPr>
      </w:pPr>
      <w:r>
        <w:rPr>
          <w:rFonts w:ascii="宋体" w:hAnsi="宋体" w:eastAsia="宋体" w:cs="宋体"/>
          <w:color w:val="000000"/>
          <w:sz w:val="32"/>
          <w:szCs w:val="32"/>
        </w:rPr>
        <w:t>2020年，本部门按照有关政策文件和区财政局要求加强预算绩效管理工作，在编制2020年部门预算时，本部门将所有预算资金纳入绩效目标管理，实现了绩效目标与部门预算同步编制、同步申报。按照确定的职责，利用部门预算资金在一定期限内预期达到总体产出和效果。我部门及所属单位对部门整体支出和地质灾害治理工程等项目开展跟踪监控，对存在的问题及时予以纠正。组织召开了专题会议，制定了工作计划，成立了工作领导小组，组织开展绩效评价工作。</w:t>
      </w:r>
      <w:r>
        <w:rPr>
          <w:color w:val="000000"/>
          <w:sz w:val="27"/>
          <w:szCs w:val="27"/>
        </w:rPr>
        <w:t xml:space="preserve"> </w:t>
      </w:r>
    </w:p>
    <w:p>
      <w:pPr>
        <w:pStyle w:val="9"/>
        <w:keepNext w:val="0"/>
        <w:keepLines w:val="0"/>
        <w:widowControl/>
        <w:suppressLineNumbers w:val="0"/>
        <w:spacing w:before="0" w:beforeAutospacing="0" w:after="2" w:afterAutospacing="0"/>
      </w:pPr>
    </w:p>
    <w:p/>
    <w:p>
      <w:pPr>
        <w:spacing w:before="0" w:beforeAutospacing="0" w:after="2" w:afterAutospacing="0"/>
        <w:jc w:val="center"/>
        <w:rPr>
          <w:sz w:val="21"/>
          <w:szCs w:val="21"/>
        </w:rPr>
      </w:pPr>
      <w:r>
        <w:rPr>
          <w:rFonts w:ascii="宋体" w:hAnsi="宋体" w:eastAsia="宋体" w:cs="宋体"/>
          <w:b/>
          <w:bCs/>
          <w:color w:val="000000"/>
          <w:sz w:val="36"/>
          <w:szCs w:val="36"/>
        </w:rPr>
        <w:t>第四部分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名词解释</w:t>
      </w:r>
      <w:r>
        <w:rPr>
          <w:color w:val="000000"/>
          <w:sz w:val="21"/>
          <w:szCs w:val="21"/>
        </w:rPr>
        <w:t xml:space="preserve"> </w:t>
      </w:r>
    </w:p>
    <w:p>
      <w:pPr>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spacing w:before="0" w:beforeAutospacing="0" w:after="2" w:afterAutospacing="0" w:line="336" w:lineRule="atLeast"/>
        <w:ind w:left="0" w:right="0" w:firstLine="643"/>
        <w:rPr>
          <w:rFonts w:hint="default" w:ascii="Calibri" w:hAnsi="Calibri" w:cs="Calibri"/>
          <w:sz w:val="21"/>
          <w:szCs w:val="21"/>
        </w:rPr>
      </w:pPr>
    </w:p>
    <w:p>
      <w:pPr>
        <w:spacing w:before="0" w:beforeAutospacing="0" w:after="2" w:afterAutospacing="0"/>
        <w:jc w:val="center"/>
        <w:rPr>
          <w:sz w:val="21"/>
          <w:szCs w:val="21"/>
        </w:rPr>
      </w:pPr>
      <w:r>
        <w:rPr>
          <w:rFonts w:ascii="宋体" w:hAnsi="宋体" w:eastAsia="宋体" w:cs="宋体"/>
          <w:b/>
          <w:bCs/>
          <w:color w:val="000000"/>
          <w:sz w:val="36"/>
          <w:szCs w:val="36"/>
        </w:rPr>
        <w:t>第五部分</w:t>
      </w:r>
      <w:r>
        <w:rPr>
          <w:rFonts w:hint="eastAsia" w:ascii="宋体" w:hAnsi="宋体" w:eastAsia="宋体" w:cs="宋体"/>
          <w:b/>
          <w:bCs/>
          <w:color w:val="000000"/>
          <w:sz w:val="36"/>
          <w:szCs w:val="36"/>
        </w:rPr>
        <w:t xml:space="preserve"> </w:t>
      </w:r>
      <w:r>
        <w:rPr>
          <w:rFonts w:ascii="宋体" w:hAnsi="宋体" w:eastAsia="宋体" w:cs="宋体"/>
          <w:b/>
          <w:bCs/>
          <w:color w:val="000000"/>
          <w:sz w:val="36"/>
          <w:szCs w:val="36"/>
        </w:rPr>
        <w:t>附件</w:t>
      </w:r>
      <w:r>
        <w:rPr>
          <w:color w:val="000000"/>
          <w:sz w:val="21"/>
          <w:szCs w:val="21"/>
        </w:rPr>
        <w:t xml:space="preserve"> </w:t>
      </w:r>
    </w:p>
    <w:p>
      <w:pPr>
        <w:spacing w:before="0" w:beforeAutospacing="0" w:after="2" w:afterAutospacing="0"/>
        <w:jc w:val="center"/>
        <w:rPr>
          <w:sz w:val="21"/>
          <w:szCs w:val="21"/>
        </w:rPr>
      </w:pPr>
      <w:r>
        <w:rPr>
          <w:rFonts w:ascii="宋体" w:hAnsi="宋体" w:eastAsia="宋体" w:cs="宋体"/>
          <w:sz w:val="28"/>
          <w:szCs w:val="28"/>
          <w:shd w:val="clear" w:fill="FFFFFF"/>
        </w:rPr>
        <w:fldChar w:fldCharType="begin"/>
      </w:r>
      <w:r>
        <w:rPr>
          <w:rFonts w:ascii="宋体" w:hAnsi="宋体" w:eastAsia="宋体" w:cs="宋体"/>
          <w:sz w:val="28"/>
          <w:szCs w:val="28"/>
          <w:shd w:val="clear" w:fill="FFFFFF"/>
        </w:rPr>
        <w:instrText xml:space="preserve"> HYPERLINK "http://yjs.jbreport.com/home/downloadAttachment?attachGUID=c28f895abcd247d2959f9eff7816a9ee" \t "_blank" </w:instrText>
      </w:r>
      <w:r>
        <w:rPr>
          <w:rFonts w:ascii="宋体" w:hAnsi="宋体" w:eastAsia="宋体" w:cs="宋体"/>
          <w:sz w:val="28"/>
          <w:szCs w:val="28"/>
          <w:shd w:val="clear" w:fill="FFFFFF"/>
        </w:rPr>
        <w:fldChar w:fldCharType="separate"/>
      </w:r>
      <w:r>
        <w:rPr>
          <w:rStyle w:val="13"/>
          <w:rFonts w:ascii="宋体" w:hAnsi="宋体" w:eastAsia="宋体" w:cs="宋体"/>
          <w:sz w:val="28"/>
          <w:szCs w:val="28"/>
          <w:shd w:val="clear" w:fill="FFFFFF"/>
        </w:rPr>
        <w:t>区自然资源局绩效自评.doc</w:t>
      </w:r>
      <w:r>
        <w:rPr>
          <w:rFonts w:ascii="宋体" w:hAnsi="宋体" w:eastAsia="宋体" w:cs="宋体"/>
          <w:sz w:val="28"/>
          <w:szCs w:val="28"/>
          <w:shd w:val="clear" w:fill="FFFFFF"/>
        </w:rPr>
        <w:fldChar w:fldCharType="end"/>
      </w:r>
    </w:p>
    <w:p>
      <w:pPr>
        <w:spacing w:before="0" w:beforeAutospacing="0" w:after="2" w:afterAutospacing="0"/>
        <w:jc w:val="center"/>
        <w:rPr>
          <w:sz w:val="21"/>
          <w:szCs w:val="21"/>
        </w:rPr>
      </w:pPr>
    </w:p>
    <w:p>
      <w:pPr>
        <w:spacing w:before="0" w:beforeAutospacing="0" w:after="2" w:afterAutospacing="0"/>
        <w:jc w:val="center"/>
        <w:rPr>
          <w:sz w:val="21"/>
          <w:szCs w:val="21"/>
        </w:rPr>
      </w:pPr>
    </w:p>
    <w:p>
      <w:pPr>
        <w:spacing w:before="0" w:beforeAutospacing="0" w:after="2" w:afterAutospacing="0"/>
        <w:jc w:val="center"/>
        <w:rPr>
          <w:sz w:val="21"/>
          <w:szCs w:val="21"/>
        </w:rPr>
      </w:pPr>
    </w:p>
    <w:sectPr>
      <w:pgSz w:w="11906" w:h="16838" w:orient="landscape"/>
      <w:pgMar w:top="1440" w:right="1080" w:bottom="1440" w:left="1080" w:header="851" w:footer="992" w:gutter="0"/>
      <w:paperSrc/>
      <w:cols w:space="0" w:num="1"/>
      <w:docGrid w:type="lines" w:linePitch="1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Tahoma">
    <w:panose1 w:val="020B0604030504040204"/>
    <w:charset w:val="00"/>
    <w:family w:val="auto"/>
    <w:pitch w:val="variable"/>
    <w:sig w:usb0="E1002EFF" w:usb1="C000605B" w:usb2="00000029" w:usb3="00000000" w:csb0="200101FF" w:csb1="20280000"/>
  </w:font>
  <w:font w:name="楷体">
    <w:panose1 w:val="02010609060101010101"/>
    <w:charset w:val="86"/>
    <w:family w:val="auto"/>
    <w:pitch w:val="fixed"/>
    <w:sig w:usb0="800002BF" w:usb1="38CF7CFA" w:usb2="00000016" w:usb3="00000000" w:csb0="00040001" w:csb1="00000000"/>
  </w:font>
  <w:font w:name="@新宋体">
    <w:panose1 w:val="02010609030101010101"/>
    <w:charset w:val="86"/>
    <w:family w:val="auto"/>
    <w:pitch w:val="fixed"/>
    <w:sig w:usb0="0000028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auto"/>
    <w:pitch w:val="variable"/>
    <w:sig w:usb0="A00006FF" w:usb1="4000205B" w:usb2="00000010" w:usb3="00000000" w:csb0="2000019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Arial Black">
    <w:panose1 w:val="020B0A04020102020204"/>
    <w:charset w:val="00"/>
    <w:family w:val="auto"/>
    <w:pitch w:val="variable"/>
    <w:sig w:usb0="A00002AF" w:usb1="400078FB" w:usb2="00000000" w:usb3="00000000" w:csb0="6000009F" w:csb1="DFD70000"/>
  </w:font>
  <w:font w:name="新宋体">
    <w:panose1 w:val="02010609030101010101"/>
    <w:charset w:val="86"/>
    <w:family w:val="auto"/>
    <w:pitch w:val="fixed"/>
    <w:sig w:usb0="00000283" w:usb1="288F0000" w:usb2="0000000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MzFiMjczZTU5M2YyNDUyYmM3NTkyMTVlYzFhMDgifQ=="/>
  </w:docVars>
  <w:rsids>
    <w:rsidRoot w:val="00000000"/>
    <w:rsid w:val="6C2B27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10961</Words>
  <Characters>14441</Characters>
  <TotalTime>1</TotalTime>
  <ScaleCrop>false</ScaleCrop>
  <LinksUpToDate>false</LinksUpToDate>
  <CharactersWithSpaces>15872</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2022-09-06T07:53:37Z</dcterms:created>
  <dc:creator>Administrator</dc:creator>
  <cp:lastModifiedBy>疯狂的树叶</cp:lastModifiedBy>
  <dcterms:modified xsi:type="dcterms:W3CDTF">2022-09-06T07:55:14Z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6905931F9D3D484BA7AAF7AD0324D006</vt:lpwstr>
  </property>
</Properties>
</file>