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center"/>
        <w:rPr>
          <w:rFonts w:hint="default" w:ascii="Helvetica" w:hAnsi="Helvetica" w:eastAsia="Helvetica"/>
          <w:sz w:val="21"/>
        </w:rPr>
      </w:pPr>
      <w:bookmarkStart w:id="0" w:name="_GoBack"/>
      <w:bookmarkEnd w:id="0"/>
      <w:r>
        <w:rPr>
          <w:rFonts w:hint="eastAsia" w:ascii="宋体" w:hAnsi="宋体"/>
          <w:kern w:val="0"/>
          <w:sz w:val="44"/>
          <w:lang w:val="en-US" w:eastAsia="zh-CN"/>
        </w:rPr>
        <w:t>2020年度益阳市资阳区农业农村局部门决算</w:t>
      </w:r>
    </w:p>
    <w:p>
      <w:pPr>
        <w:spacing w:beforeLines="0" w:afterLines="0"/>
        <w:jc w:val="center"/>
        <w:rPr>
          <w:rFonts w:hint="default" w:ascii="Helvetica" w:hAnsi="Helvetica" w:eastAsia="Helvetica"/>
          <w:sz w:val="21"/>
        </w:rPr>
      </w:pPr>
      <w:r>
        <w:rPr>
          <w:rFonts w:hint="default" w:ascii="Helvetica" w:hAnsi="Helvetica" w:eastAsia="Helvetica"/>
          <w:kern w:val="0"/>
          <w:sz w:val="32"/>
          <w:lang w:val="en-US" w:eastAsia="zh-CN"/>
        </w:rPr>
        <w:t> </w:t>
      </w:r>
    </w:p>
    <w:p>
      <w:pPr>
        <w:spacing w:beforeLines="0" w:afterLines="0"/>
        <w:jc w:val="center"/>
        <w:rPr>
          <w:rFonts w:hint="eastAsia" w:ascii="宋体" w:hAnsi="宋体"/>
          <w:sz w:val="21"/>
        </w:rPr>
      </w:pPr>
      <w:r>
        <w:rPr>
          <w:rFonts w:hint="default" w:ascii="Helvetica" w:hAnsi="Helvetica" w:eastAsia="Helvetica"/>
          <w:kern w:val="0"/>
          <w:sz w:val="32"/>
          <w:lang w:val="en-US" w:eastAsia="zh-CN"/>
        </w:rPr>
        <w:t>目 录</w:t>
      </w:r>
    </w:p>
    <w:p>
      <w:pPr>
        <w:spacing w:beforeLines="0" w:afterLines="0"/>
        <w:jc w:val="center"/>
        <w:rPr>
          <w:rFonts w:hint="default" w:ascii="Helvetica" w:hAnsi="Helvetica" w:eastAsia="Helvetica"/>
          <w:sz w:val="21"/>
        </w:rPr>
      </w:pPr>
    </w:p>
    <w:p>
      <w:pPr>
        <w:pStyle w:val="2"/>
        <w:spacing w:before="0" w:beforeLines="0" w:beforeAutospacing="0" w:after="0" w:afterLines="0" w:afterAutospacing="0"/>
        <w:ind w:firstLine="641"/>
        <w:rPr>
          <w:rFonts w:hint="default" w:ascii="Helvetica" w:hAnsi="Helvetica" w:eastAsia="Helvetica"/>
          <w:sz w:val="27"/>
        </w:rPr>
      </w:pPr>
      <w:r>
        <w:rPr>
          <w:rFonts w:hint="default" w:ascii="Helvetica" w:hAnsi="Helvetica" w:eastAsia="Helvetica"/>
          <w:b/>
          <w:sz w:val="32"/>
        </w:rPr>
        <w:t>第一部分</w:t>
      </w:r>
      <w:r>
        <w:rPr>
          <w:rFonts w:hint="eastAsia" w:ascii="宋体" w:hAnsi="宋体"/>
          <w:b/>
          <w:sz w:val="32"/>
        </w:rPr>
        <w:t> 益阳市资阳区农业农村局概况</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一、部门职责</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二、机构设置</w:t>
      </w:r>
    </w:p>
    <w:p>
      <w:pPr>
        <w:pStyle w:val="2"/>
        <w:spacing w:before="0" w:beforeLines="0" w:beforeAutospacing="0" w:after="0" w:afterLines="0" w:afterAutospacing="0"/>
        <w:ind w:firstLine="641"/>
        <w:rPr>
          <w:rFonts w:hint="default" w:ascii="Helvetica" w:hAnsi="Helvetica" w:eastAsia="Helvetica"/>
          <w:sz w:val="27"/>
        </w:rPr>
      </w:pPr>
      <w:r>
        <w:rPr>
          <w:rFonts w:hint="default" w:ascii="Helvetica" w:hAnsi="Helvetica" w:eastAsia="Helvetica"/>
          <w:b/>
          <w:sz w:val="32"/>
        </w:rPr>
        <w:t>第二部分</w:t>
      </w:r>
      <w:r>
        <w:rPr>
          <w:rFonts w:hint="eastAsia" w:ascii="宋体" w:hAnsi="宋体"/>
          <w:b/>
          <w:sz w:val="32"/>
        </w:rPr>
        <w:t> 2020年度</w:t>
      </w:r>
      <w:r>
        <w:rPr>
          <w:rFonts w:hint="default" w:ascii="Helvetica" w:hAnsi="Helvetica" w:eastAsia="Helvetica"/>
          <w:b/>
          <w:sz w:val="32"/>
        </w:rPr>
        <w:t>部门决算表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一、收入支出决算总表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二、收入决算表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三、支出决算表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四、财政拨款收入支出决算总表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五、一般公共预算财政拨款支出决算表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六、一般公共预算财政拨款基本支出决算表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七、一般公共预算财政拨款“三公”经费支出决算表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八、政府性基金预算财政拨款收入支出决算表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九、国有资本经营预算财政拨款支出决算表</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b/>
          <w:sz w:val="32"/>
        </w:rPr>
        <w:t>第三部分 2020年度部门决算情况说明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一、收入支出决算总体情况说明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二、收入决算情况说明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三、支出决算情况说明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四、财政拨款收入支出决算总体情况说明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五、一般公共预算财政拨款支出决算情况说明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六、一般公共预算财政拨款基本支出决算情况说明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七、一般公共预算财政拨款三公经费支出决算情况说明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八、政府性基金预算收入支出决算情况</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九、国有资本经营预算财政拨款支出决算情况</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十、关于机关运行经费支出说明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十一、一般性支出情况</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十二、关于政府采购支出说明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十三、关于国有资产占用情况说明</w:t>
      </w:r>
    </w:p>
    <w:p>
      <w:pPr>
        <w:pStyle w:val="2"/>
        <w:spacing w:before="0" w:beforeLines="0" w:beforeAutospacing="0" w:after="0" w:afterLines="0" w:afterAutospacing="0"/>
        <w:ind w:firstLine="700"/>
        <w:rPr>
          <w:rFonts w:hint="default" w:ascii="Helvetica" w:hAnsi="Helvetica" w:eastAsia="Helvetica"/>
          <w:sz w:val="24"/>
        </w:rPr>
      </w:pPr>
      <w:r>
        <w:rPr>
          <w:rFonts w:hint="eastAsia" w:ascii="宋体" w:hAnsi="宋体"/>
          <w:sz w:val="28"/>
        </w:rPr>
        <w:t>十四、关于2020年度预算绩效情况的说明</w:t>
      </w:r>
    </w:p>
    <w:p>
      <w:pPr>
        <w:pStyle w:val="2"/>
        <w:spacing w:before="0" w:beforeLines="0" w:beforeAutospacing="0" w:after="0" w:afterLines="0" w:afterAutospacing="0"/>
        <w:ind w:firstLine="641"/>
        <w:rPr>
          <w:rFonts w:hint="default" w:ascii="Helvetica" w:hAnsi="Helvetica" w:eastAsia="Helvetica"/>
          <w:sz w:val="27"/>
        </w:rPr>
      </w:pPr>
      <w:r>
        <w:rPr>
          <w:rFonts w:hint="default" w:ascii="Helvetica" w:hAnsi="Helvetica" w:eastAsia="Helvetica"/>
          <w:b/>
          <w:sz w:val="32"/>
        </w:rPr>
        <w:t>第四部分</w:t>
      </w:r>
      <w:r>
        <w:rPr>
          <w:rFonts w:hint="eastAsia" w:ascii="宋体" w:hAnsi="宋体"/>
          <w:b/>
          <w:sz w:val="32"/>
        </w:rPr>
        <w:t> </w:t>
      </w:r>
      <w:r>
        <w:rPr>
          <w:rFonts w:hint="default" w:ascii="Helvetica" w:hAnsi="Helvetica" w:eastAsia="Helvetica"/>
          <w:b/>
          <w:sz w:val="32"/>
        </w:rPr>
        <w:t>名词解释</w:t>
      </w:r>
    </w:p>
    <w:p>
      <w:pPr>
        <w:pStyle w:val="2"/>
        <w:spacing w:before="0" w:beforeLines="0" w:beforeAutospacing="0" w:after="0" w:afterLines="0" w:afterAutospacing="0"/>
        <w:ind w:firstLine="641"/>
        <w:rPr>
          <w:rFonts w:hint="default" w:ascii="Helvetica" w:hAnsi="Helvetica" w:eastAsia="Helvetica"/>
          <w:sz w:val="27"/>
        </w:rPr>
      </w:pPr>
      <w:r>
        <w:rPr>
          <w:rFonts w:hint="default" w:ascii="Helvetica" w:hAnsi="Helvetica" w:eastAsia="Helvetica"/>
          <w:b/>
          <w:sz w:val="32"/>
        </w:rPr>
        <w:t>第五部分</w:t>
      </w:r>
      <w:r>
        <w:rPr>
          <w:rFonts w:hint="eastAsia" w:ascii="宋体" w:hAnsi="宋体"/>
          <w:b/>
          <w:sz w:val="32"/>
        </w:rPr>
        <w:t> </w:t>
      </w:r>
      <w:r>
        <w:rPr>
          <w:rFonts w:hint="default" w:ascii="Helvetica" w:hAnsi="Helvetica" w:eastAsia="Helvetica"/>
          <w:b/>
          <w:sz w:val="32"/>
        </w:rPr>
        <w:t>附件</w:t>
      </w:r>
    </w:p>
    <w:p>
      <w:pPr>
        <w:spacing w:beforeLines="0" w:afterLines="0"/>
        <w:jc w:val="left"/>
        <w:rPr>
          <w:rFonts w:hint="default" w:ascii="font-size:10.5pt;text-indent:32" w:hAnsi="font-size:10.5pt;text-indent:32" w:eastAsia="font-size:10.5pt;text-indent:32"/>
          <w:sz w:val="21"/>
        </w:rPr>
      </w:pPr>
    </w:p>
    <w:p>
      <w:pPr>
        <w:spacing w:beforeLines="0" w:afterLines="0"/>
        <w:jc w:val="left"/>
        <w:rPr>
          <w:rFonts w:hint="default" w:ascii="font-size:10.5pt;text-indent:32" w:hAnsi="font-size:10.5pt;text-indent:32" w:eastAsia="font-size:10.5pt;text-indent:32"/>
          <w:sz w:val="21"/>
        </w:rPr>
      </w:pPr>
    </w:p>
    <w:p>
      <w:pPr>
        <w:spacing w:beforeLines="0" w:afterLines="0"/>
        <w:jc w:val="left"/>
        <w:rPr>
          <w:rFonts w:hint="default" w:ascii="font-size:10.5pt;text-indent:32" w:hAnsi="font-size:10.5pt;text-indent:32" w:eastAsia="font-size:10.5pt;text-indent:32"/>
          <w:sz w:val="21"/>
        </w:rPr>
      </w:pPr>
    </w:p>
    <w:p>
      <w:pPr>
        <w:spacing w:beforeLines="0" w:afterLines="0"/>
        <w:jc w:val="left"/>
        <w:rPr>
          <w:rFonts w:hint="default" w:ascii="font-size:10.5pt;text-indent:32" w:hAnsi="font-size:10.5pt;text-indent:32" w:eastAsia="font-size:10.5pt;text-indent:32"/>
          <w:sz w:val="21"/>
        </w:rPr>
      </w:pPr>
    </w:p>
    <w:p>
      <w:pPr>
        <w:spacing w:beforeLines="0" w:afterLines="0"/>
        <w:jc w:val="left"/>
        <w:rPr>
          <w:rFonts w:hint="default" w:ascii="font-size:10.5pt;text-indent:32" w:hAnsi="font-size:10.5pt;text-indent:32" w:eastAsia="font-size:10.5pt;text-indent:32"/>
          <w:sz w:val="21"/>
        </w:rPr>
      </w:pPr>
    </w:p>
    <w:p>
      <w:pPr>
        <w:spacing w:beforeLines="0" w:afterLines="0" w:line="600" w:lineRule="atLeast"/>
        <w:jc w:val="center"/>
        <w:rPr>
          <w:rFonts w:hint="default" w:ascii="Helvetica" w:hAnsi="Helvetica" w:eastAsia="Helvetica"/>
          <w:sz w:val="21"/>
        </w:rPr>
      </w:pPr>
      <w:r>
        <w:rPr>
          <w:rFonts w:hint="eastAsia" w:ascii="宋体" w:hAnsi="宋体"/>
          <w:b/>
          <w:kern w:val="0"/>
          <w:sz w:val="36"/>
          <w:lang w:val="en-US" w:eastAsia="zh-CN"/>
        </w:rPr>
        <w:t>第一部分 益阳市资阳区农业农村局概况</w:t>
      </w:r>
    </w:p>
    <w:p>
      <w:pPr>
        <w:pStyle w:val="2"/>
        <w:spacing w:before="0" w:beforeLines="0" w:beforeAutospacing="0" w:after="0" w:afterLines="0" w:afterAutospacing="0"/>
        <w:rPr>
          <w:rFonts w:hint="default" w:ascii="Helvetica" w:hAnsi="Helvetica" w:eastAsia="Helvetica"/>
          <w:sz w:val="24"/>
        </w:rPr>
      </w:pPr>
    </w:p>
    <w:p>
      <w:pPr>
        <w:pStyle w:val="2"/>
        <w:spacing w:before="0" w:beforeLines="0" w:beforeAutospacing="0" w:after="0" w:afterLines="0" w:afterAutospacing="0"/>
        <w:rPr>
          <w:rFonts w:hint="default" w:ascii="Helvetica" w:hAnsi="Helvetica" w:eastAsia="Helvetica"/>
          <w:sz w:val="24"/>
        </w:rPr>
      </w:pPr>
      <w:r>
        <w:rPr>
          <w:rFonts w:hint="eastAsia" w:ascii="黑体" w:hAnsi="宋体" w:eastAsia="黑体"/>
          <w:sz w:val="32"/>
        </w:rPr>
        <w:t> </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b/>
          <w:sz w:val="32"/>
        </w:rPr>
        <w:t>一、部门职责</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（一）统筹研究和组织实施“三农”工作的发展战略、中长期规划、重大政策。指导农业综合执法，参与涉农的财税、价格、收储、金融保险、进出口等政策制定。</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（二）统筹推动发展农村社会事业、农村公共服务、农村文化、农村基础设施和乡村治理。牵头组织改善农村人居环境。指导农村精神文明和优秀农耕文化建设。指导农业行业安全生产工作。</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三）研究提出深化农村经济体制改革和巩固完善农村基本经营制度的政策建议。负责农民承包地、农村宅基地改革和管理有关工作。负责农村集体产权制度改革，指导农村集体经济组织发展和集体资产管理工作, 指导农民合作经济组织、农业社会化服务体系、新型农业经营主体建设与发展。</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（五）负责种植业、畜牧业、渔业、农垦、农业机械化等农业各产业的监督管理。指导粮食等农产品生产。组织构建现代农业产业体系、生产体系、经营体系，指导农业标准化生产。负责渔政渔港监督管理。</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六）负责农产品质量安全监督管理。组织开展农产品质量安全监测、追溯、风险评估，报送农产品质量安全信息。贯彻执行农产品质量安全国家标准，参与制定农产品质量安全地方标准并会同有关部门组织实施。指导农业检验检测体系建设。</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七）组织农业资源区划工作。承担农业综合开发项目、农田整治项目、农田水利建设项目管理工作。指导农用地、渔业水域以及农业生物物种资源的保护与管理，负责水生野生动植物特种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八）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（九）负责农业防灾减灾、农作物重大病虫害防治工作。指导动植物防疫检疫体系建设，组织、监督市内动植物防疫检疫和疫情扑灭工作。配合有关部门制定血吸虫病防治工作计划并组织实施。</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（十）负责农业投资管理。编制农业投资项目建设规划，提出农业投资规模和方向，扶持农业农村发展财政项目的建议，按规定权限审批农业投资项目，负责农业投资项目资金安排和监督管理。</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（十二）指导农业农村人才工作。拟订农业农村人才队伍建设规划并组织实施，指导农业教育和农业职业技能开发，指导新型职业农民培育、农业科技人才培养和农村实用人才培训工作。</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（十三）组织参与农业对外合作工作。承办有关农业涉外事务，组织开展农业贸易促进和有关对外交流合作，具体执行有关农业援外项目。</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（十四）完成区委、区政府和区委农村工作领导小组交办的其他任务。</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十五）有关职责分工。与区市场监督管理局有关职责分工。(1)区农业农村局负责食用农产品从种植养殖环节到进入批发、零售市场或生产加工企业前的质量安全监督管理。食用农产品进入批发、零售市场或生产加工企业后，由区市场监督管理局监督管理。(2)区农业农村局负责动植物疫病防控、畜禽屠宰环节、生鲜乳收购环节质量安全的监督管理。(3)两部门要建立食品安全产地准出、市场准入和追溯机制，加强协调配合和工作衔接，形成监管合力。</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b/>
          <w:sz w:val="32"/>
        </w:rPr>
        <w:t>二、机构设置及决算单位构成</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（一）内设机构设置</w:t>
      </w:r>
    </w:p>
    <w:p>
      <w:pPr>
        <w:pStyle w:val="2"/>
        <w:spacing w:before="0" w:beforeLines="0" w:beforeAutospacing="0" w:after="0" w:afterLines="0" w:afterAutospacing="0"/>
        <w:ind w:firstLine="641"/>
        <w:rPr>
          <w:rFonts w:hint="default" w:ascii="Helvetica" w:hAnsi="Helvetica" w:eastAsia="Helvetica"/>
          <w:sz w:val="27"/>
        </w:rPr>
      </w:pPr>
      <w:r>
        <w:rPr>
          <w:rFonts w:hint="eastAsia" w:ascii="宋体" w:hAnsi="宋体"/>
          <w:sz w:val="32"/>
        </w:rPr>
        <w:t>    益阳市资阳区农业农村局内设机构包括：本部门共有编制人数172人，实际在职人数90人内设股室十五个，分别为：1、办公室（区委农村工作领导小组办公室秘书组）；2、人事股（离退休人员管理股）。3、法规股。4、发展规划股。5、计划财务股。6、农村社会事业促进股。7、科技教育股。8、农业资源保护与利用股。9、农产品质量安全监管股(区绿色食品办公室)。10、种业与种植业管理股（农药管理股、植保植检股）。11、农田建设股（土壤肥料股、耕地质量保护股）。12、安全生产管理股。13、农村合作经济指导股。14、畜牧水产管理股（加挂渔业渔政管理股牌子）。15、农业机械化管理股（加挂农机安全监理股牌子）。机关党委。</w:t>
      </w:r>
    </w:p>
    <w:p>
      <w:pPr>
        <w:spacing w:beforeLines="0" w:afterLines="0"/>
        <w:ind w:firstLine="627"/>
        <w:jc w:val="left"/>
        <w:rPr>
          <w:rFonts w:hint="default" w:ascii="Helvetica" w:hAnsi="Helvetica" w:eastAsia="Helvetica"/>
          <w:sz w:val="21"/>
        </w:rPr>
      </w:pPr>
      <w:r>
        <w:rPr>
          <w:rFonts w:hint="eastAsia" w:ascii="宋体" w:hAnsi="宋体"/>
          <w:kern w:val="0"/>
          <w:sz w:val="32"/>
          <w:lang w:val="en-US" w:eastAsia="zh-CN"/>
        </w:rPr>
        <w:t>（二）决算单位构成</w:t>
      </w:r>
    </w:p>
    <w:p>
      <w:pPr>
        <w:spacing w:beforeLines="0" w:afterLines="0"/>
        <w:ind w:firstLine="627"/>
        <w:jc w:val="left"/>
        <w:rPr>
          <w:rFonts w:hint="default" w:ascii="Helvetica" w:hAnsi="Helvetica" w:eastAsia="Helvetica"/>
          <w:sz w:val="21"/>
        </w:rPr>
      </w:pPr>
      <w:r>
        <w:rPr>
          <w:rFonts w:hint="eastAsia" w:ascii="宋体" w:hAnsi="宋体"/>
          <w:kern w:val="0"/>
          <w:sz w:val="32"/>
          <w:lang w:val="en-US" w:eastAsia="zh-CN"/>
        </w:rPr>
        <w:t>    </w:t>
      </w:r>
      <w:r>
        <w:rPr>
          <w:rFonts w:hint="eastAsia" w:ascii="宋体" w:hAnsi="宋体"/>
          <w:color w:val="000000"/>
          <w:kern w:val="0"/>
          <w:sz w:val="32"/>
          <w:lang w:val="en-US" w:eastAsia="zh-CN"/>
        </w:rPr>
        <w:t>益阳市资阳区农业农村局2020年部门决算汇总公开单位构成包括：1、益阳市资阳区农业农村局部门本级；2、农作物种子技术服务推广中心。</w:t>
      </w:r>
    </w:p>
    <w:p>
      <w:pPr>
        <w:pStyle w:val="2"/>
        <w:spacing w:before="0" w:beforeLines="0" w:beforeAutospacing="0" w:after="0" w:afterLines="0" w:afterAutospacing="0"/>
        <w:rPr>
          <w:rFonts w:hint="default" w:ascii="Helvetica" w:hAnsi="Helvetica" w:eastAsia="Helvetica"/>
          <w:sz w:val="24"/>
        </w:rPr>
      </w:pPr>
    </w:p>
    <w:p>
      <w:pPr>
        <w:spacing w:beforeLines="0" w:afterLines="0"/>
        <w:rPr>
          <w:rFonts w:hint="default" w:ascii="font-size:10.5pt;text-indent:32" w:hAnsi="font-size:10.5pt;text-indent:32" w:eastAsia="font-size:10.5pt;text-indent:32"/>
          <w:sz w:val="21"/>
        </w:rPr>
      </w:pPr>
    </w:p>
    <w:p>
      <w:pPr>
        <w:spacing w:beforeLines="0" w:afterLines="0"/>
        <w:jc w:val="left"/>
        <w:rPr>
          <w:rFonts w:hint="default"/>
          <w:sz w:val="21"/>
        </w:rPr>
      </w:pPr>
    </w:p>
    <w:p>
      <w:pPr>
        <w:spacing w:beforeLines="0" w:afterLines="0"/>
        <w:ind w:firstLine="721"/>
        <w:jc w:val="center"/>
        <w:rPr>
          <w:rFonts w:hint="default" w:ascii="Helvetica" w:hAnsi="Helvetica" w:eastAsia="Helvetica"/>
          <w:sz w:val="21"/>
        </w:rPr>
      </w:pPr>
      <w:r>
        <w:rPr>
          <w:rFonts w:hint="default" w:ascii="Helvetica" w:hAnsi="Helvetica" w:eastAsia="Helvetica"/>
          <w:b/>
          <w:kern w:val="0"/>
          <w:sz w:val="36"/>
          <w:lang w:val="en-US" w:eastAsia="zh-CN"/>
        </w:rPr>
        <w:t>第二部分</w:t>
      </w:r>
      <w:r>
        <w:rPr>
          <w:rFonts w:hint="eastAsia" w:ascii="宋体" w:hAnsi="宋体"/>
          <w:b/>
          <w:kern w:val="0"/>
          <w:sz w:val="36"/>
          <w:lang w:val="en-US" w:eastAsia="zh-CN"/>
        </w:rPr>
        <w:t> 2020年度部门决算表</w:t>
      </w:r>
    </w:p>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0"/>
        <w:gridCol w:w="555"/>
        <w:gridCol w:w="2189"/>
        <w:gridCol w:w="4101"/>
        <w:gridCol w:w="555"/>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6"/>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189"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10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744"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945" w:type="dxa"/>
            <w:gridSpan w:val="4"/>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2744"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844"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收入</w:t>
            </w:r>
          </w:p>
        </w:tc>
        <w:tc>
          <w:tcPr>
            <w:tcW w:w="6845"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行次</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金额</w:t>
            </w: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行次</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一、一般公共预算财政拨款收入</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6,375.61</w:t>
            </w: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一、一般公共服务支出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32</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二、政府性基金预算财政拨款收入</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二、外交支出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33</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三、国有资本经营预算财政拨款收入</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三、国防支出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34</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四、上级补助收入</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四、公共安全支出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35</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五、事业收入</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五、教育支出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36</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六、经营收入</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六、科学技术支出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37</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七、附属单位上缴收入</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7</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七、文化旅游体育与传媒支出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38</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八、其他收入</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8</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376.49</w:t>
            </w: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八、社会保障和就业支出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39</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9</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九、卫生健康支出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40</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10</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十、节能环保支出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41</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11</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十一、城乡社区支出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42</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12</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十二、农林水支出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43</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3,292.61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13</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十三、交通运输支出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44</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14</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十四、资源勘探工业信息等支出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45</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15</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十五、商业服务业等支出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46</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16</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十六、金融支出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47</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17</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十七、援助其他地区支出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48</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18</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十八、自然资源海洋气象等支出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49</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19</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十九、住房保障支出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50</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20</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二十、粮油物资储备支出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51</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21</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二十一、国有资本经营预算支出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52</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22</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二十二、灾害防治及应急管理支出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53</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23</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二十三、其他支出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54</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348.78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0"/>
              </w:rPr>
              <w:t>24</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二十四、债务还本支出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55</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0"/>
              </w:rPr>
              <w:t>25</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二十五、债务付息支出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56</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0"/>
              </w:rPr>
              <w:t>26</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二十六、抗疫特别国债安排的支出</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57</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本年收入合计</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27</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6,752.09</w:t>
            </w: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本年支出合计</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58</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3,885.94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使用非财政拨款结余</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28</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结余分配</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59</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年初结转和结余</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29</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1,764.81</w:t>
            </w: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年末结转和结余</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60</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4,630.96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30</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61</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0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总计</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31</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8,516.90</w:t>
            </w:r>
          </w:p>
        </w:tc>
        <w:tc>
          <w:tcPr>
            <w:tcW w:w="41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总计</w:t>
            </w:r>
          </w:p>
        </w:tc>
        <w:tc>
          <w:tcPr>
            <w:tcW w:w="55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62</w:t>
            </w:r>
          </w:p>
        </w:tc>
        <w:tc>
          <w:tcPr>
            <w:tcW w:w="218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8,516.90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6"/>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注：本表反映部门本年度的总收支和年末结转结余情况。本表金额转换为万元时，因四舍五入可能存在尾数误差。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9"/>
        <w:gridCol w:w="310"/>
        <w:gridCol w:w="310"/>
        <w:gridCol w:w="2724"/>
        <w:gridCol w:w="1858"/>
        <w:gridCol w:w="1363"/>
        <w:gridCol w:w="1363"/>
        <w:gridCol w:w="1363"/>
        <w:gridCol w:w="1363"/>
        <w:gridCol w:w="1363"/>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11"/>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09"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1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1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724"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858"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36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36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36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36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726"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963" w:type="dxa"/>
            <w:gridSpan w:val="9"/>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2726"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53"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1858"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本年收入合计</w:t>
            </w:r>
          </w:p>
        </w:tc>
        <w:tc>
          <w:tcPr>
            <w:tcW w:w="136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财政拨款收入</w:t>
            </w:r>
          </w:p>
        </w:tc>
        <w:tc>
          <w:tcPr>
            <w:tcW w:w="136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上级补助收入</w:t>
            </w:r>
          </w:p>
        </w:tc>
        <w:tc>
          <w:tcPr>
            <w:tcW w:w="136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事业收入</w:t>
            </w:r>
          </w:p>
        </w:tc>
        <w:tc>
          <w:tcPr>
            <w:tcW w:w="136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经营收入</w:t>
            </w:r>
          </w:p>
        </w:tc>
        <w:tc>
          <w:tcPr>
            <w:tcW w:w="136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附属单位上缴收入</w:t>
            </w:r>
          </w:p>
        </w:tc>
        <w:tc>
          <w:tcPr>
            <w:tcW w:w="136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功能分类科目编码</w:t>
            </w:r>
          </w:p>
        </w:tc>
        <w:tc>
          <w:tcPr>
            <w:tcW w:w="2724"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科目名称</w:t>
            </w:r>
          </w:p>
        </w:tc>
        <w:tc>
          <w:tcPr>
            <w:tcW w:w="1858"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724"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858"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724"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858"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53"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53"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6,752.09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6,375.61</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376.49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教育支出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3.34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3.34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20504</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成人教育</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2050404</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成人广播电视教育</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20505</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广播电视教育</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2050501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广播电视学校</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社会保障和就业支出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行政事业单位养老支出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2080505</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机关事业单位基本养老保险缴费支出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73.10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73.10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2080506</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机关事业单位职业年金缴费支出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6.35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6.35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卫生健康支出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89.88</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89.88</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行政事业单位医疗</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89.88</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89.88</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2101102</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事业单位医疗</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51.94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51.94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2101103</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公务员医疗补助</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37.94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37.94</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节能环保支出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21104</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自然生态保护</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2110402</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农村环境保护</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农林水支出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6,133.25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6,133.25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农业农村</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5,159.25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5,159.25</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行政运行</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652.26</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652.26</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2130102</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一般行政管理事务</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2130106</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科技转化与推广服务</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85.00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85.00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2130108</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病虫害控制</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2130109</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农产品质量安全</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106.00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106.00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2130119</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防灾救灾</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农业结构调整补贴</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521.00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521.00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2130122</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农业生产发展</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664.10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664.10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2130125</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农产品加工与促销</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730.00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730.00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2130126</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农村社会事业</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319.50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319.50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2130135</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农业资源保护修复与利用</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1,042.00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1,042.00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2130153</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农田建设</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2130199</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其他农业农村支出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783.39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783.39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21303</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水利</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2130399</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其他水利支出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21305</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扶贫</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774.00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774.00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2130599</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其他扶贫支出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774.00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774.00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住房保障支出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22102</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住房改革支出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2210201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住房公积金</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229</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376.49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22999</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376.49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2299901</w:t>
            </w:r>
          </w:p>
        </w:tc>
        <w:tc>
          <w:tcPr>
            <w:tcW w:w="272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其他支出</w:t>
            </w:r>
          </w:p>
        </w:tc>
        <w:tc>
          <w:tcPr>
            <w:tcW w:w="185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376.49</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3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11"/>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注：本表反映部门本年度取得的各项收入情况。本表金额转换为万元时，因四舍五入可能存在尾数误差。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3"/>
        <w:gridCol w:w="344"/>
        <w:gridCol w:w="344"/>
        <w:gridCol w:w="3027"/>
        <w:gridCol w:w="2064"/>
        <w:gridCol w:w="1513"/>
        <w:gridCol w:w="1513"/>
        <w:gridCol w:w="1513"/>
        <w:gridCol w:w="1513"/>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10"/>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4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44"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44"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027"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064"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51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51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51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028"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661" w:type="dxa"/>
            <w:gridSpan w:val="8"/>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3028"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058"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2064"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本年支出合计</w:t>
            </w:r>
          </w:p>
        </w:tc>
        <w:tc>
          <w:tcPr>
            <w:tcW w:w="151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基本支出</w:t>
            </w:r>
          </w:p>
        </w:tc>
        <w:tc>
          <w:tcPr>
            <w:tcW w:w="151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项目支出</w:t>
            </w:r>
          </w:p>
        </w:tc>
        <w:tc>
          <w:tcPr>
            <w:tcW w:w="151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上缴上级支出</w:t>
            </w:r>
          </w:p>
        </w:tc>
        <w:tc>
          <w:tcPr>
            <w:tcW w:w="151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经营支出</w:t>
            </w:r>
          </w:p>
        </w:tc>
        <w:tc>
          <w:tcPr>
            <w:tcW w:w="1515"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功能分类科目编码</w:t>
            </w:r>
          </w:p>
        </w:tc>
        <w:tc>
          <w:tcPr>
            <w:tcW w:w="3027"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科目名称</w:t>
            </w:r>
          </w:p>
        </w:tc>
        <w:tc>
          <w:tcPr>
            <w:tcW w:w="2064"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5"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3027"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064"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5"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3027"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064"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515"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058"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058"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3,885.94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1,260.89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2,625.06</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教育支出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教育管理事务</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2050101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行政运行</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20504</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成人教育</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2050404</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成人广播电视教育</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20505</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广播电视教育</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2050501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广播电视学校</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社会保障和就业支出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行政事业单位养老支出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2080505</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机关事业单位基本养老保险缴费支出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73.10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73.10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2080506</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机关事业单位职业年金缴费支出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6.35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6.35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卫生健康支出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90.63</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90.63</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行政事业单位医疗</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89.88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89.88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2101102</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事业单位医疗</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51.94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51.94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2101103</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公务员医疗补助</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37.94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37.94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21012</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财政对基本医疗保险基金的补助</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0.75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0.75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2101299</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财政对其他基本医疗保险基金的补助</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0.75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0.75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节能环保支出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21104</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自然生态保护</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2110402</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农村环境保护</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农林水支出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3,292.61</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1,014.16</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2,278.45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农业农村</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2,171.90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1,014.16</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1,157.75</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行政运行</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647.02</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647.02</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2130102</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一般行政管理事务</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2130104</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事业运行</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2130106</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科技转化与推广服务</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177.82</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177.82</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2130108</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病虫害控制</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52.77</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20.39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32.37</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2130109</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农产品质量安全</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2130119</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防灾救灾</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农业结构调整补贴</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75.39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75.39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2130122</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农业生产发展</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22.71</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22.71</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2130126</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农村社会事业</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574.50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574.50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2130135</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农业资源保护修复与利用</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147.94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144.94</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2130199</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其他农业农村支出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369.06</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336.03</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33.03</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21303</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水利</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2130399</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其他水利支出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21305</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扶贫</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920.70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920.70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2130504</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农村基础设施建设</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146.70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146.70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2130599</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其他扶贫支出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774.00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774.00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住房保障支出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22102</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住房改革支出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2210201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住房公积金</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229</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348.78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2.18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346.60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22999</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348.78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2.18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346.60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3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2299901</w:t>
            </w:r>
          </w:p>
        </w:tc>
        <w:tc>
          <w:tcPr>
            <w:tcW w:w="3027"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其他支出</w:t>
            </w:r>
          </w:p>
        </w:tc>
        <w:tc>
          <w:tcPr>
            <w:tcW w:w="206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348.78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2.18</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346.60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51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10"/>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注：本表反映部门本年度各项支出情况。本表金额转换为万元时，因四舍五入可能存在尾数误差。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35"/>
        <w:gridCol w:w="452"/>
        <w:gridCol w:w="1332"/>
        <w:gridCol w:w="3152"/>
        <w:gridCol w:w="452"/>
        <w:gridCol w:w="1819"/>
        <w:gridCol w:w="1249"/>
        <w:gridCol w:w="1249"/>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9"/>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332"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152"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819"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249"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498"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191" w:type="dxa"/>
            <w:gridSpan w:val="7"/>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2498"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51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收 入</w:t>
            </w:r>
          </w:p>
        </w:tc>
        <w:tc>
          <w:tcPr>
            <w:tcW w:w="9170" w:type="dxa"/>
            <w:gridSpan w:val="6"/>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452"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行次</w:t>
            </w:r>
          </w:p>
        </w:tc>
        <w:tc>
          <w:tcPr>
            <w:tcW w:w="1332"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金额</w:t>
            </w:r>
          </w:p>
        </w:tc>
        <w:tc>
          <w:tcPr>
            <w:tcW w:w="3152"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452"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行次</w:t>
            </w:r>
          </w:p>
        </w:tc>
        <w:tc>
          <w:tcPr>
            <w:tcW w:w="181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124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一般公共预算财政拨款</w:t>
            </w:r>
          </w:p>
        </w:tc>
        <w:tc>
          <w:tcPr>
            <w:tcW w:w="124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政府性基金预算财政拨款</w:t>
            </w:r>
          </w:p>
        </w:tc>
        <w:tc>
          <w:tcPr>
            <w:tcW w:w="124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452"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332"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3152"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452"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81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24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24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24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一、一般公共预算财政拨款</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6,375.61</w:t>
            </w: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一、一般公共服务支出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33</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二、政府性基金预算财政拨款</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二、外交支出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34</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三、国有资本经营财政拨款</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三、国防支出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35</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四、公共安全支出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36</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五、教育支出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37</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4.78</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4.78</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六、科学技术支出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38</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7</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七、文化旅游体育与传媒支出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39</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8</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八、社会保障和就业支出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40</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9</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九、卫生健康支出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41</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90.63</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90.63</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10</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十、节能环保支出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42</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11</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十一、城乡社区支出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43</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12</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十二、农林水支出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44</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3,292.61</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3,292.61</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13</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十三、交通运输支出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45</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14</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十四、资源勘探工业信息等支出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46</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15</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十五、商业服务业等支出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47</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16</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十六、金融支出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48</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17</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十七、援助其他地区支出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49</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18</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十八、自然资源海洋气象等支出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50</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19</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十九、住房保障支出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51</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20</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二十、粮油物资储备支出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52</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21</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二十一、国有资本经营预算支出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53</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22</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二十二、灾害防治及应急管理支出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54</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23</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二十三、其他支出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55</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24</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二十四、债务还本支出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56</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25</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二十五、债务付息支出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57</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26</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二十六、抗疫特别国债安排的支出</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58</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本年收入合计</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27</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6,375.61</w:t>
            </w: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本年支出合计</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59</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3,537.16</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3,537.16</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年初财政拨款结转和结余</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28</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1,735.42</w:t>
            </w: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年末财政拨款结转和结余</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60</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4,573.87</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4,573.87</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一般公共预算财政拨款</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29</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1,735.42</w:t>
            </w: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61</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政府性基金预算财政拨款</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30</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62</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国有资本经营预算财政拨款</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31</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63</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3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总计</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32</w:t>
            </w:r>
          </w:p>
        </w:tc>
        <w:tc>
          <w:tcPr>
            <w:tcW w:w="133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8,111.03</w:t>
            </w:r>
          </w:p>
        </w:tc>
        <w:tc>
          <w:tcPr>
            <w:tcW w:w="31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总计</w:t>
            </w:r>
          </w:p>
        </w:tc>
        <w:tc>
          <w:tcPr>
            <w:tcW w:w="452"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64</w:t>
            </w:r>
          </w:p>
        </w:tc>
        <w:tc>
          <w:tcPr>
            <w:tcW w:w="18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8,111.03</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8,111.03</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c>
          <w:tcPr>
            <w:tcW w:w="124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9"/>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7"/>
        <w:gridCol w:w="387"/>
        <w:gridCol w:w="387"/>
        <w:gridCol w:w="4610"/>
        <w:gridCol w:w="2639"/>
        <w:gridCol w:w="2639"/>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7"/>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7"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87"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87"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61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639"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279"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410" w:type="dxa"/>
            <w:gridSpan w:val="5"/>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5279"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71"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7918"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功能分类科目编码</w:t>
            </w:r>
          </w:p>
        </w:tc>
        <w:tc>
          <w:tcPr>
            <w:tcW w:w="4610"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科目名称</w:t>
            </w:r>
          </w:p>
        </w:tc>
        <w:tc>
          <w:tcPr>
            <w:tcW w:w="263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小计</w:t>
            </w:r>
          </w:p>
        </w:tc>
        <w:tc>
          <w:tcPr>
            <w:tcW w:w="263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基本支出</w:t>
            </w:r>
          </w:p>
        </w:tc>
        <w:tc>
          <w:tcPr>
            <w:tcW w:w="2640"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461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63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63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64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461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63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63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64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71"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71"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3,537.16</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1,258.71</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2,278.45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教育支出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4.78</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4.78</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教育管理事务</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2050101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行政运行</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20504</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成人教育</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2050404</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成人广播电视教育</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20505</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广播电视教育</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2050501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广播电视学校</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0.34</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社会保障和就业支出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行政事业单位养老支出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79.45</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2080505</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机关事业单位基本养老保险缴费支出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73.10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73.10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2080506</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机关事业单位职业年金缴费支出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6.35</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6.35</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卫生健康支出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90.63</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90.63</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行政事业单位医疗</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89.88</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89.88</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2101102</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事业单位医疗</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51.94</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51.94</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2101103</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公务员医疗补助</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37.94</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37.94</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21012</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财政对基本医疗保险基金的补助</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0.75</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0.75</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2101299</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财政对其他基本医疗保险基金的补助</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0.75</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0.75</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节能环保支出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21104</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自然生态保护</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2110402</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农村环境保护</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农林水支出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3,292.61</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1,014.16</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2,278.45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农业农村</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2,171.90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1,014.16</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1,157.75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行政运行</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647.02</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647.02</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2130102</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一般行政管理事务</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2130104</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事业运行</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2130106</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科技转化与推广服务</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177.82</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2130108</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病虫害控制</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52.77</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20.39</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2130109</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农产品质量安全</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2130119</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防灾救灾</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50.00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农业结构调整补贴</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75.39</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2130122</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农业生产发展</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22.71</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2130126</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农村社会事业</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574.50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574.50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2130135</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农业资源保护修复与利用</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147.94</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2130199</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其他农业农村支出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369.06</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336.03</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21303</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水利</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2130399</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其他水利支出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21305</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扶贫</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920.70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920.70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2130504</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农村基础设施建设</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146.70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2130599</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其他扶贫支出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774.00</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住房保障支出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22102</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住房改革支出</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2210201</w:t>
            </w:r>
          </w:p>
        </w:tc>
        <w:tc>
          <w:tcPr>
            <w:tcW w:w="46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住房公积金</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263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58.69</w:t>
            </w:r>
          </w:p>
        </w:tc>
        <w:tc>
          <w:tcPr>
            <w:tcW w:w="26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7"/>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注：本表反映部门本年度一般公共预算财政拨款支出情况。本表金额转换为万元时，因四舍五入可能存在尾数误差。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8"/>
        <w:gridCol w:w="2873"/>
        <w:gridCol w:w="1470"/>
        <w:gridCol w:w="628"/>
        <w:gridCol w:w="2263"/>
        <w:gridCol w:w="1469"/>
        <w:gridCol w:w="628"/>
        <w:gridCol w:w="226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9"/>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87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47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628"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26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469"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628"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3730"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959" w:type="dxa"/>
            <w:gridSpan w:val="7"/>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3730"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7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人员经费</w:t>
            </w:r>
          </w:p>
        </w:tc>
        <w:tc>
          <w:tcPr>
            <w:tcW w:w="8718" w:type="dxa"/>
            <w:gridSpan w:val="6"/>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科目编码</w:t>
            </w:r>
          </w:p>
        </w:tc>
        <w:tc>
          <w:tcPr>
            <w:tcW w:w="287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科目名称</w:t>
            </w:r>
          </w:p>
        </w:tc>
        <w:tc>
          <w:tcPr>
            <w:tcW w:w="1470"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决算数</w:t>
            </w:r>
          </w:p>
        </w:tc>
        <w:tc>
          <w:tcPr>
            <w:tcW w:w="628"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科目编码</w:t>
            </w:r>
          </w:p>
        </w:tc>
        <w:tc>
          <w:tcPr>
            <w:tcW w:w="226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科目名称</w:t>
            </w:r>
          </w:p>
        </w:tc>
        <w:tc>
          <w:tcPr>
            <w:tcW w:w="146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决算数</w:t>
            </w:r>
          </w:p>
        </w:tc>
        <w:tc>
          <w:tcPr>
            <w:tcW w:w="628"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科目编码</w:t>
            </w:r>
          </w:p>
        </w:tc>
        <w:tc>
          <w:tcPr>
            <w:tcW w:w="2260"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科目名称</w:t>
            </w:r>
          </w:p>
        </w:tc>
        <w:tc>
          <w:tcPr>
            <w:tcW w:w="1470"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87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47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628"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26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46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628"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26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47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301</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工资福利支出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1,141.31</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302</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商品和服务支出</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108.35</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307</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债务利息及费用支出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30101</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基本工资</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353.43</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30201</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办公费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6.05</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30701</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国内债务付息</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30102</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津贴补贴</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52.34</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30202</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印刷费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0.19</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30702</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国外债务付息</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30103</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奖金</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128.77</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30203</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咨询费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310</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资本性支出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30106</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伙食补助费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33.63</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30204</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手续费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31001</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房屋建筑物购建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30107</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绩效工资</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53.92</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30205</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水费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4.19</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31002</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办公设备购置</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30108</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机关事业单位基本养老保险缴费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154.56</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30206</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电费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7.73</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31003</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专用设备购置</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30109</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职业年金缴费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42.18</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30207</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邮电费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0.28</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31005</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基础设施建设</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30110</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职工基本医疗保险缴费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121.88</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30208</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取暖费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31006</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大型修缮</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30111</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公务员医疗补助缴费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16.68</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30209</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物业管理费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3.74</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31007</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信息网络及软件购置更新</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30112</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其他社会保障缴费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10.92</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30211</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差旅费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0.05</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31008</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物资储备</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30113</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住房公积金</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173.01</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30212</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因公出国（境）费用</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31009</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土地补偿</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30114</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医疗费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30213</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维修（护）费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27.12</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31010</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安置补助</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30199</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其他工资福利支出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30214</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租赁费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31011</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地上附着物和青苗补偿</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303</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对个人和家庭的补助</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9.05</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30215</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会议费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31012</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拆迁补偿</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30301</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离休费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30216</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培训费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31013</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公务用车购置</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30302</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退休费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30217</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公务接待费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31019</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其他交通工具购置</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30303</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退职（役）费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30218</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专用材料费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11.68</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31021</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文物和陈列品购置</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30304</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抚恤金</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30224</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被装购置费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31022</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无形资产购置</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30305</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生活补助</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7.06</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30225</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专用燃料费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31099</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其他资本性支出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30306</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救济费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30226</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劳务费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0.29</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399</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b/>
                <w:sz w:val="22"/>
              </w:rPr>
              <w:t>其他支出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30307</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医疗费补助</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30227</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委托业务费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0.20</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39906</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赠与</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30308</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助学金</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30228</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工会经费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28.53</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39907</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国家赔偿费用支出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30309</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奖励金</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0.30</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30229</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福利费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3.17</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39908</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对民间非营利组织和群众性自治组织补贴</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30310</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个人农业生产补贴</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30231</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公务用车运行维护费</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1.53</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39999</w:t>
            </w: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其他支出</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30311</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代缴社会保险费</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30239</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其他交通费用</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30399</w:t>
            </w: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其他对个人和家庭的补助</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1.68</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30240</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税金及附加费用</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0.92</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87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30299</w:t>
            </w:r>
          </w:p>
        </w:tc>
        <w:tc>
          <w:tcPr>
            <w:tcW w:w="226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其他商品和服务支出</w:t>
            </w:r>
          </w:p>
        </w:tc>
        <w:tc>
          <w:tcPr>
            <w:tcW w:w="146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12.69</w:t>
            </w:r>
          </w:p>
        </w:tc>
        <w:tc>
          <w:tcPr>
            <w:tcW w:w="628"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26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01" w:type="dxa"/>
            <w:gridSpan w:val="2"/>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人员经费合计</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1,150.36</w:t>
            </w:r>
          </w:p>
        </w:tc>
        <w:tc>
          <w:tcPr>
            <w:tcW w:w="7248" w:type="dxa"/>
            <w:gridSpan w:val="5"/>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b/>
                <w:sz w:val="22"/>
              </w:rPr>
              <w:t>公用经费合计</w:t>
            </w:r>
          </w:p>
        </w:tc>
        <w:tc>
          <w:tcPr>
            <w:tcW w:w="147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b/>
                <w:sz w:val="22"/>
              </w:rPr>
              <w:t>108.35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9"/>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注：本表反映部门本年度一般公共预算财政拨款基本支出明细情况。本表金额转换为万元时，因四舍五入可能存在尾数误差。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0"/>
        <w:gridCol w:w="1140"/>
        <w:gridCol w:w="1140"/>
        <w:gridCol w:w="1141"/>
        <w:gridCol w:w="1141"/>
        <w:gridCol w:w="1141"/>
        <w:gridCol w:w="1141"/>
        <w:gridCol w:w="1141"/>
        <w:gridCol w:w="1141"/>
        <w:gridCol w:w="1141"/>
        <w:gridCol w:w="1141"/>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12"/>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4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14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282"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407" w:type="dxa"/>
            <w:gridSpan w:val="10"/>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2282"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843" w:type="dxa"/>
            <w:gridSpan w:val="6"/>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预算数</w:t>
            </w:r>
          </w:p>
        </w:tc>
        <w:tc>
          <w:tcPr>
            <w:tcW w:w="6846" w:type="dxa"/>
            <w:gridSpan w:val="6"/>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40"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1140"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因公出国（境）费</w:t>
            </w:r>
          </w:p>
        </w:tc>
        <w:tc>
          <w:tcPr>
            <w:tcW w:w="3422"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公务用车购置及运行费</w:t>
            </w:r>
          </w:p>
        </w:tc>
        <w:tc>
          <w:tcPr>
            <w:tcW w:w="1141"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公务接待费</w:t>
            </w:r>
          </w:p>
        </w:tc>
        <w:tc>
          <w:tcPr>
            <w:tcW w:w="1141"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1141"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因公出国（境）费</w:t>
            </w:r>
          </w:p>
        </w:tc>
        <w:tc>
          <w:tcPr>
            <w:tcW w:w="3423"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公务用车购置及运行费</w:t>
            </w:r>
          </w:p>
        </w:tc>
        <w:tc>
          <w:tcPr>
            <w:tcW w:w="1141"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4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14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1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小计</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公务用车购置费</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公务用车运行费</w:t>
            </w:r>
          </w:p>
        </w:tc>
        <w:tc>
          <w:tcPr>
            <w:tcW w:w="1141"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141"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141"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小计</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公务用车购置费</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公务用车运行费</w:t>
            </w:r>
          </w:p>
        </w:tc>
        <w:tc>
          <w:tcPr>
            <w:tcW w:w="1141"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11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11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7</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8</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9</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10</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11</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1.62</w:t>
            </w:r>
          </w:p>
        </w:tc>
        <w:tc>
          <w:tcPr>
            <w:tcW w:w="11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14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1.53</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1.53</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0.09</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1.62</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1.53</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0.00</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1.53</w:t>
            </w:r>
          </w:p>
        </w:tc>
        <w:tc>
          <w:tcPr>
            <w:tcW w:w="114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2"/>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12"/>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4"/>
        <w:gridCol w:w="285"/>
        <w:gridCol w:w="285"/>
        <w:gridCol w:w="2953"/>
        <w:gridCol w:w="1010"/>
        <w:gridCol w:w="1684"/>
        <w:gridCol w:w="919"/>
        <w:gridCol w:w="1295"/>
        <w:gridCol w:w="1295"/>
        <w:gridCol w:w="3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10"/>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84"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85"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85"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95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010"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684"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919"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295"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974"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715" w:type="dxa"/>
            <w:gridSpan w:val="8"/>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4974"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07"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1010"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年初结转和结余</w:t>
            </w:r>
          </w:p>
        </w:tc>
        <w:tc>
          <w:tcPr>
            <w:tcW w:w="1684"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本年收入</w:t>
            </w:r>
          </w:p>
        </w:tc>
        <w:tc>
          <w:tcPr>
            <w:tcW w:w="3509"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本年支出</w:t>
            </w:r>
          </w:p>
        </w:tc>
        <w:tc>
          <w:tcPr>
            <w:tcW w:w="367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功能分类科目编码</w:t>
            </w:r>
          </w:p>
        </w:tc>
        <w:tc>
          <w:tcPr>
            <w:tcW w:w="2953"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科目名称</w:t>
            </w:r>
          </w:p>
        </w:tc>
        <w:tc>
          <w:tcPr>
            <w:tcW w:w="101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684"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91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小计</w:t>
            </w:r>
          </w:p>
        </w:tc>
        <w:tc>
          <w:tcPr>
            <w:tcW w:w="1295"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基本支出</w:t>
            </w:r>
          </w:p>
        </w:tc>
        <w:tc>
          <w:tcPr>
            <w:tcW w:w="1295"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项目支出</w:t>
            </w:r>
          </w:p>
        </w:tc>
        <w:tc>
          <w:tcPr>
            <w:tcW w:w="367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95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01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684"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91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295"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295"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367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953"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010"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684"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91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295"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1295"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367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07"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10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168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9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4</w:t>
            </w: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5</w:t>
            </w:r>
          </w:p>
        </w:tc>
        <w:tc>
          <w:tcPr>
            <w:tcW w:w="367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07"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10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68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9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67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95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0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68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9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67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95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0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68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9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67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95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0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68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9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67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95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0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68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9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67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95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0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68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9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67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4"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953"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1010"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684"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91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1295"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367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10"/>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注：本表反映部门本年度政府性基金预算财政拨款收入、支出及结转和结余情况。本单位没有政府性基金收入，也没有使用政府性基金安排的支出，故本表无数据。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center"/>
        <w:rPr>
          <w:rFonts w:hint="default" w:ascii="Helvetica" w:hAnsi="Helvetica" w:eastAsia="Helvetica"/>
          <w:sz w:val="21"/>
        </w:rPr>
      </w:pPr>
    </w:p>
    <w:tbl>
      <w:tblPr>
        <w:tblStyle w:val="3"/>
        <w:tblW w:w="13689" w:type="dxa"/>
        <w:jc w:val="center"/>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3"/>
        <w:gridCol w:w="454"/>
        <w:gridCol w:w="454"/>
        <w:gridCol w:w="5401"/>
        <w:gridCol w:w="2309"/>
        <w:gridCol w:w="2309"/>
        <w:gridCol w:w="2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7"/>
            <w:tcBorders>
              <w:top w:val="nil"/>
              <w:left w:val="nil"/>
              <w:bottom w:val="nil"/>
              <w:right w:val="nil"/>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53"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4"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54"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401"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309" w:type="dxa"/>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4618"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71" w:type="dxa"/>
            <w:gridSpan w:val="5"/>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部门：益阳市资阳区农业农村局(本级)</w:t>
            </w:r>
          </w:p>
        </w:tc>
        <w:tc>
          <w:tcPr>
            <w:tcW w:w="4618" w:type="dxa"/>
            <w:gridSpan w:val="2"/>
            <w:tcBorders>
              <w:top w:val="nil"/>
              <w:left w:val="nil"/>
              <w:bottom w:val="nil"/>
              <w:right w:val="nil"/>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r>
              <w:rPr>
                <w:rFonts w:hint="default" w:ascii="Helvetica" w:hAnsi="Helvetica" w:eastAsia="Helvetica"/>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762"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w:t>
            </w:r>
          </w:p>
        </w:tc>
        <w:tc>
          <w:tcPr>
            <w:tcW w:w="6927"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功能分类科目编码</w:t>
            </w:r>
          </w:p>
        </w:tc>
        <w:tc>
          <w:tcPr>
            <w:tcW w:w="5401"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科目名称</w:t>
            </w:r>
          </w:p>
        </w:tc>
        <w:tc>
          <w:tcPr>
            <w:tcW w:w="230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230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基本支出</w:t>
            </w:r>
          </w:p>
        </w:tc>
        <w:tc>
          <w:tcPr>
            <w:tcW w:w="2309" w:type="dxa"/>
            <w:vMerge w:val="restart"/>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5401"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30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30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30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5401"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30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30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c>
          <w:tcPr>
            <w:tcW w:w="2309" w:type="dxa"/>
            <w:vMerge w:val="continue"/>
            <w:tcBorders>
              <w:top w:val="single" w:color="808080" w:sz="6" w:space="0"/>
              <w:left w:val="single" w:color="808080" w:sz="6" w:space="0"/>
              <w:bottom w:val="single" w:color="808080" w:sz="6" w:space="0"/>
              <w:right w:val="single" w:color="808080" w:sz="6" w:space="0"/>
              <w:tl2br w:val="nil"/>
              <w:tr2bl w:val="nil"/>
            </w:tcBorders>
            <w:noWrap w:val="0"/>
            <w:vAlign w:val="center"/>
          </w:tcPr>
          <w:p>
            <w:pPr>
              <w:spacing w:beforeLines="0" w:afterLines="0"/>
              <w:rPr>
                <w:rFonts w:hint="default" w:ascii="Helvetica" w:hAnsi="Helvetica" w:eastAsia="Helvetic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762"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栏次</w:t>
            </w: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1</w:t>
            </w: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2</w:t>
            </w: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762" w:type="dxa"/>
            <w:gridSpan w:val="4"/>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center"/>
              <w:rPr>
                <w:rFonts w:hint="default" w:ascii="Helvetica" w:hAnsi="Helvetica" w:eastAsia="Helvetica"/>
                <w:sz w:val="24"/>
              </w:rPr>
            </w:pPr>
            <w:r>
              <w:rPr>
                <w:rFonts w:hint="default" w:ascii="Helvetica" w:hAnsi="Helvetica" w:eastAsia="Helvetica"/>
                <w:sz w:val="22"/>
              </w:rPr>
              <w:t>合计</w:t>
            </w: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4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4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4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4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4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1" w:type="dxa"/>
            <w:gridSpan w:val="3"/>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5401"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c>
          <w:tcPr>
            <w:tcW w:w="2309" w:type="dxa"/>
            <w:tcBorders>
              <w:top w:val="single" w:color="808080" w:sz="6" w:space="0"/>
              <w:left w:val="single" w:color="808080" w:sz="6" w:space="0"/>
              <w:bottom w:val="single" w:color="808080" w:sz="6" w:space="0"/>
              <w:right w:val="single" w:color="808080" w:sz="6" w:space="0"/>
              <w:tl2br w:val="nil"/>
              <w:tr2bl w:val="nil"/>
            </w:tcBorders>
            <w:noWrap w:val="0"/>
            <w:vAlign w:val="center"/>
          </w:tcPr>
          <w:p>
            <w:pPr>
              <w:pStyle w:val="2"/>
              <w:spacing w:before="0" w:beforeLines="0" w:beforeAutospacing="0" w:after="0" w:afterLines="0" w:afterAutospacing="0"/>
              <w:jc w:val="right"/>
              <w:rPr>
                <w:rFonts w:hint="default" w:ascii="Helvetica" w:hAnsi="Helvetica" w:eastAsia="Helvetic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89" w:type="dxa"/>
            <w:gridSpan w:val="7"/>
            <w:tcBorders>
              <w:top w:val="nil"/>
              <w:left w:val="nil"/>
              <w:bottom w:val="nil"/>
              <w:right w:val="nil"/>
              <w:tl2br w:val="nil"/>
              <w:tr2bl w:val="nil"/>
            </w:tcBorders>
            <w:noWrap w:val="0"/>
            <w:vAlign w:val="center"/>
          </w:tcPr>
          <w:p>
            <w:pPr>
              <w:pStyle w:val="2"/>
              <w:spacing w:before="0" w:beforeLines="0" w:beforeAutospacing="0" w:after="0" w:afterLines="0" w:afterAutospacing="0"/>
              <w:rPr>
                <w:rFonts w:hint="default" w:ascii="Helvetica" w:hAnsi="Helvetica" w:eastAsia="Helvetica"/>
                <w:sz w:val="24"/>
              </w:rPr>
            </w:pPr>
            <w:r>
              <w:rPr>
                <w:rFonts w:hint="default" w:ascii="Helvetica" w:hAnsi="Helvetica" w:eastAsia="Helvetica"/>
                <w:sz w:val="22"/>
              </w:rPr>
              <w:t>注：本表反映部门本年度国有资本经营预算财政拨款支出情况。本单位没有国有资本经营预算财政拨款收入，也没有使用国有资本经营预算财政拨款安排的支出，故本表无数据。</w:t>
            </w:r>
          </w:p>
        </w:tc>
      </w:tr>
    </w:tbl>
    <w:p>
      <w:pPr>
        <w:pStyle w:val="2"/>
        <w:spacing w:before="0" w:beforeLines="0" w:beforeAutospacing="0" w:after="0" w:afterLines="0" w:afterAutospacing="0"/>
        <w:rPr>
          <w:rFonts w:hint="default" w:ascii="Helvetica" w:hAnsi="Helvetica" w:eastAsia="Helvetica"/>
          <w:sz w:val="24"/>
        </w:rPr>
      </w:pPr>
    </w:p>
    <w:p>
      <w:pPr>
        <w:spacing w:beforeLines="0" w:afterLines="0"/>
        <w:jc w:val="left"/>
        <w:rPr>
          <w:rFonts w:hint="default"/>
          <w:sz w:val="21"/>
        </w:rPr>
      </w:pPr>
    </w:p>
    <w:p>
      <w:pPr>
        <w:shd w:val="clear" w:color="auto" w:fill="FFFFFF"/>
        <w:spacing w:beforeLines="0" w:afterLines="0"/>
        <w:jc w:val="center"/>
        <w:rPr>
          <w:rFonts w:hint="default" w:ascii="Helvetica" w:hAnsi="Helvetica" w:eastAsia="Helvetica"/>
          <w:color w:val="212529"/>
          <w:sz w:val="21"/>
        </w:rPr>
      </w:pPr>
      <w:r>
        <w:rPr>
          <w:rFonts w:hint="default" w:ascii="Helvetica" w:hAnsi="Helvetica" w:eastAsia="Helvetica"/>
          <w:b/>
          <w:color w:val="212529"/>
          <w:kern w:val="0"/>
          <w:sz w:val="36"/>
          <w:shd w:val="clear" w:color="auto" w:fill="FFFFFF"/>
          <w:lang w:val="en-US" w:eastAsia="zh-CN"/>
        </w:rPr>
        <w:t>第三部分</w:t>
      </w:r>
      <w:r>
        <w:rPr>
          <w:rFonts w:hint="eastAsia" w:ascii="宋体" w:hAnsi="宋体"/>
          <w:b/>
          <w:color w:val="212529"/>
          <w:kern w:val="0"/>
          <w:sz w:val="36"/>
          <w:shd w:val="clear" w:color="auto" w:fill="FFFFFF"/>
          <w:lang w:val="en-US" w:eastAsia="zh-CN"/>
        </w:rPr>
        <w:t> 2020年度部门决算情况说明</w:t>
      </w:r>
    </w:p>
    <w:p>
      <w:pPr>
        <w:shd w:val="clear" w:color="auto" w:fill="FFFFFF"/>
        <w:spacing w:beforeLines="0" w:afterLines="0"/>
        <w:jc w:val="left"/>
        <w:rPr>
          <w:rFonts w:hint="default" w:ascii="font-size:10.5pt;margin-top:0pt" w:hAnsi="font-size:10.5pt;margin-top:0pt" w:eastAsia="font-size:10.5pt;margin-top:0pt"/>
          <w:color w:val="212529"/>
          <w:sz w:val="24"/>
        </w:rPr>
      </w:pP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一、收入支出决算总体情况说明</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2020年度</w:t>
      </w:r>
      <w:r>
        <w:rPr>
          <w:rFonts w:hint="eastAsia" w:ascii="宋体" w:hAnsi="宋体"/>
          <w:color w:val="212529"/>
          <w:sz w:val="32"/>
          <w:shd w:val="clear" w:color="auto" w:fill="FFFFFF"/>
        </w:rPr>
        <w:t>收、支总计8,516.9</w:t>
      </w:r>
      <w:r>
        <w:rPr>
          <w:rFonts w:hint="default" w:ascii="Helvetica" w:hAnsi="Helvetica" w:eastAsia="Helvetica"/>
          <w:color w:val="212529"/>
          <w:sz w:val="32"/>
          <w:shd w:val="clear" w:color="auto" w:fill="FFFFFF"/>
        </w:rPr>
        <w:t>万元。与上一年度相比，收、支总计各增加192.87万元</w:t>
      </w:r>
      <w:r>
        <w:rPr>
          <w:rFonts w:hint="eastAsia" w:ascii="宋体" w:hAnsi="宋体"/>
          <w:color w:val="212529"/>
          <w:sz w:val="32"/>
          <w:shd w:val="clear" w:color="auto" w:fill="FFFFFF"/>
        </w:rPr>
        <w:t>，增长2.32%。</w:t>
      </w:r>
      <w:r>
        <w:rPr>
          <w:rFonts w:hint="default" w:ascii="Helvetica" w:hAnsi="Helvetica" w:eastAsia="Helvetica"/>
          <w:color w:val="212529"/>
          <w:sz w:val="32"/>
          <w:shd w:val="clear" w:color="auto" w:fill="FFFFFF"/>
        </w:rPr>
        <w:t>主要是因为上级专项收入增加。</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二、收入决算情况说明</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eastAsia" w:ascii="宋体" w:hAnsi="宋体"/>
          <w:color w:val="212529"/>
          <w:sz w:val="32"/>
          <w:shd w:val="clear" w:color="auto" w:fill="FFFFFF"/>
        </w:rPr>
        <w:t>2020年度收入合计6,752.09</w:t>
      </w:r>
      <w:r>
        <w:rPr>
          <w:rFonts w:hint="default" w:ascii="Helvetica" w:hAnsi="Helvetica" w:eastAsia="Helvetica"/>
          <w:color w:val="212529"/>
          <w:sz w:val="32"/>
          <w:shd w:val="clear" w:color="auto" w:fill="FFFFFF"/>
        </w:rPr>
        <w:t>万元，其中：财政拨款收入</w:t>
      </w:r>
      <w:r>
        <w:rPr>
          <w:rFonts w:hint="eastAsia" w:ascii="宋体" w:hAnsi="宋体"/>
          <w:color w:val="212529"/>
          <w:sz w:val="32"/>
          <w:shd w:val="clear" w:color="auto" w:fill="FFFFFF"/>
        </w:rPr>
        <w:t>6,375.61万元，占94.42%</w:t>
      </w:r>
      <w:r>
        <w:rPr>
          <w:rFonts w:hint="default" w:ascii="Helvetica" w:hAnsi="Helvetica" w:eastAsia="Helvetica"/>
          <w:color w:val="212529"/>
          <w:sz w:val="32"/>
          <w:shd w:val="clear" w:color="auto" w:fill="FFFFFF"/>
        </w:rPr>
        <w:t>；上级补助收入</w:t>
      </w:r>
      <w:r>
        <w:rPr>
          <w:rFonts w:hint="eastAsia" w:ascii="宋体" w:hAnsi="宋体"/>
          <w:color w:val="212529"/>
          <w:sz w:val="32"/>
          <w:shd w:val="clear" w:color="auto" w:fill="FFFFFF"/>
        </w:rPr>
        <w:t>0万元，占0%</w:t>
      </w:r>
      <w:r>
        <w:rPr>
          <w:rFonts w:hint="default" w:ascii="Helvetica" w:hAnsi="Helvetica" w:eastAsia="Helvetica"/>
          <w:color w:val="212529"/>
          <w:sz w:val="32"/>
          <w:shd w:val="clear" w:color="auto" w:fill="FFFFFF"/>
        </w:rPr>
        <w:t>；事业收入</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；经营收入</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；附属单位上缴收入</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；其他收入</w:t>
      </w:r>
      <w:r>
        <w:rPr>
          <w:rFonts w:hint="eastAsia" w:ascii="宋体" w:hAnsi="宋体"/>
          <w:color w:val="212529"/>
          <w:sz w:val="32"/>
          <w:shd w:val="clear" w:color="auto" w:fill="FFFFFF"/>
        </w:rPr>
        <w:t>376.49万元，占5.58%。</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三、支出决算情况说明</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2020年度支出合计</w:t>
      </w:r>
      <w:r>
        <w:rPr>
          <w:rFonts w:hint="eastAsia" w:ascii="宋体" w:hAnsi="宋体"/>
          <w:color w:val="212529"/>
          <w:sz w:val="32"/>
          <w:shd w:val="clear" w:color="auto" w:fill="FFFFFF"/>
        </w:rPr>
        <w:t>3,885.94</w:t>
      </w:r>
      <w:r>
        <w:rPr>
          <w:rFonts w:hint="default" w:ascii="Helvetica" w:hAnsi="Helvetica" w:eastAsia="Helvetica"/>
          <w:color w:val="212529"/>
          <w:sz w:val="32"/>
          <w:shd w:val="clear" w:color="auto" w:fill="FFFFFF"/>
        </w:rPr>
        <w:t>万元，其中：基本支出</w:t>
      </w:r>
      <w:r>
        <w:rPr>
          <w:rFonts w:hint="eastAsia" w:ascii="宋体" w:hAnsi="宋体"/>
          <w:color w:val="212529"/>
          <w:sz w:val="32"/>
          <w:shd w:val="clear" w:color="auto" w:fill="FFFFFF"/>
        </w:rPr>
        <w:t>1,260.89</w:t>
      </w:r>
      <w:r>
        <w:rPr>
          <w:rFonts w:hint="default" w:ascii="Helvetica" w:hAnsi="Helvetica" w:eastAsia="Helvetica"/>
          <w:color w:val="212529"/>
          <w:sz w:val="32"/>
          <w:shd w:val="clear" w:color="auto" w:fill="FFFFFF"/>
        </w:rPr>
        <w:t>万元，占32.45%；项目支出</w:t>
      </w:r>
      <w:r>
        <w:rPr>
          <w:rFonts w:hint="eastAsia" w:ascii="宋体" w:hAnsi="宋体"/>
          <w:color w:val="212529"/>
          <w:sz w:val="32"/>
          <w:shd w:val="clear" w:color="auto" w:fill="FFFFFF"/>
        </w:rPr>
        <w:t>2,625.06</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67.55%；上缴上级支出0</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；经营支出</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；对附属单位补助支出</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0%。</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四、财政拨款收入支出决算总体情况说明</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2020年度财政</w:t>
      </w:r>
      <w:r>
        <w:rPr>
          <w:rFonts w:hint="eastAsia" w:ascii="宋体" w:hAnsi="宋体"/>
          <w:color w:val="212529"/>
          <w:sz w:val="32"/>
          <w:shd w:val="clear" w:color="auto" w:fill="FFFFFF"/>
        </w:rPr>
        <w:t>拨款</w:t>
      </w:r>
      <w:r>
        <w:rPr>
          <w:rFonts w:hint="default" w:ascii="Helvetica" w:hAnsi="Helvetica" w:eastAsia="Helvetica"/>
          <w:color w:val="212529"/>
          <w:sz w:val="32"/>
          <w:shd w:val="clear" w:color="auto" w:fill="FFFFFF"/>
        </w:rPr>
        <w:t>收、支总计</w:t>
      </w:r>
      <w:r>
        <w:rPr>
          <w:rFonts w:hint="eastAsia" w:ascii="宋体" w:hAnsi="宋体"/>
          <w:color w:val="212529"/>
          <w:sz w:val="32"/>
          <w:shd w:val="clear" w:color="auto" w:fill="FFFFFF"/>
        </w:rPr>
        <w:t>8,111.03</w:t>
      </w:r>
      <w:r>
        <w:rPr>
          <w:rFonts w:hint="default" w:ascii="Helvetica" w:hAnsi="Helvetica" w:eastAsia="Helvetica"/>
          <w:color w:val="212529"/>
          <w:sz w:val="32"/>
          <w:shd w:val="clear" w:color="auto" w:fill="FFFFFF"/>
        </w:rPr>
        <w:t>万元</w:t>
      </w:r>
      <w:r>
        <w:rPr>
          <w:rFonts w:hint="eastAsia" w:ascii="宋体" w:hAnsi="宋体"/>
          <w:color w:val="212529"/>
          <w:sz w:val="32"/>
          <w:shd w:val="clear" w:color="auto" w:fill="FFFFFF"/>
        </w:rPr>
        <w:t>。与上一年度相比，财政拨款收、支总计各增加82.78万元</w:t>
      </w:r>
      <w:r>
        <w:rPr>
          <w:rFonts w:hint="default" w:ascii="Helvetica" w:hAnsi="Helvetica" w:eastAsia="Helvetica"/>
          <w:color w:val="212529"/>
          <w:sz w:val="32"/>
          <w:shd w:val="clear" w:color="auto" w:fill="FFFFFF"/>
        </w:rPr>
        <w:t>，增长1.03%。主要是因为上级专项收入增加。</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五、一般公共预算财政拨款支出决算情况说明</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（一）财政拨款支出决算总体情况</w:t>
      </w:r>
    </w:p>
    <w:p>
      <w:pPr>
        <w:pStyle w:val="2"/>
        <w:shd w:val="clear" w:color="auto" w:fill="FFFFFF"/>
        <w:spacing w:before="0" w:beforeLines="0" w:beforeAutospacing="0" w:after="0" w:afterLines="0" w:afterAutospacing="0"/>
        <w:ind w:firstLine="855"/>
        <w:rPr>
          <w:rFonts w:hint="default" w:ascii="Helvetica" w:hAnsi="Helvetica" w:eastAsia="Helvetica"/>
          <w:color w:val="212529"/>
          <w:sz w:val="27"/>
        </w:rPr>
      </w:pPr>
      <w:r>
        <w:rPr>
          <w:rFonts w:hint="default" w:ascii="Helvetica" w:hAnsi="Helvetica" w:eastAsia="Helvetica"/>
          <w:color w:val="212529"/>
          <w:sz w:val="32"/>
          <w:shd w:val="clear" w:color="auto" w:fill="FFFFFF"/>
        </w:rPr>
        <w:t>2020年度财政拨款支出3,537.16万元，占本年支出合计的91.02%</w:t>
      </w:r>
      <w:r>
        <w:rPr>
          <w:rFonts w:hint="eastAsia" w:ascii="宋体" w:hAnsi="宋体"/>
          <w:color w:val="212529"/>
          <w:sz w:val="32"/>
          <w:shd w:val="clear" w:color="auto" w:fill="FFFFFF"/>
        </w:rPr>
        <w:t>。与上一年度相比，财政拨款支出减少2,714.83万元</w:t>
      </w:r>
      <w:r>
        <w:rPr>
          <w:rFonts w:hint="default" w:ascii="Helvetica" w:hAnsi="Helvetica" w:eastAsia="Helvetica"/>
          <w:color w:val="212529"/>
          <w:sz w:val="32"/>
          <w:shd w:val="clear" w:color="auto" w:fill="FFFFFF"/>
        </w:rPr>
        <w:t>，下降43.42%。主要是因为本年项目支出减少。</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（二）财政拨款支出决算结构情况</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eastAsia" w:ascii="宋体" w:hAnsi="宋体"/>
          <w:color w:val="212529"/>
          <w:sz w:val="32"/>
          <w:shd w:val="clear" w:color="auto" w:fill="FFFFFF"/>
        </w:rPr>
        <w:t>2020</w:t>
      </w:r>
      <w:r>
        <w:rPr>
          <w:rFonts w:hint="default" w:ascii="Helvetica" w:hAnsi="Helvetica" w:eastAsia="Helvetica"/>
          <w:color w:val="212529"/>
          <w:sz w:val="32"/>
          <w:shd w:val="clear" w:color="auto" w:fill="FFFFFF"/>
        </w:rPr>
        <w:t>年度财政拨款支出3,537.16万元，主要用于以下方面：</w:t>
      </w:r>
      <w:r>
        <w:rPr>
          <w:rFonts w:hint="eastAsia" w:ascii="宋体" w:hAnsi="宋体"/>
          <w:color w:val="212529"/>
          <w:sz w:val="32"/>
          <w:shd w:val="clear" w:color="auto" w:fill="FFFFFF"/>
        </w:rPr>
        <w:t>教育支出4.78万元，占0.14%；社会保障和就业支出79.45万元，占2.25%；卫生健康支出90.63万元，占2.56%；节能环保支出11万元，占0.31%；农林水支出3,292.61万元，占93.08%；住房保障支出58.69万元，占1.66%。</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eastAsia" w:ascii="宋体" w:hAnsi="宋体"/>
          <w:b/>
          <w:color w:val="212529"/>
          <w:sz w:val="32"/>
          <w:shd w:val="clear" w:color="auto" w:fill="FFFFFF"/>
        </w:rPr>
        <w:t>（三）财政拨款支出决算具体情况</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2020年度财政拨款支出年初预算数为1,062.35万元，支出决算数为</w:t>
      </w:r>
      <w:r>
        <w:rPr>
          <w:rFonts w:hint="eastAsia" w:ascii="宋体" w:hAnsi="宋体"/>
          <w:color w:val="212529"/>
          <w:sz w:val="32"/>
          <w:shd w:val="clear" w:color="auto" w:fill="FFFFFF"/>
        </w:rPr>
        <w:t>3,537.16</w:t>
      </w:r>
      <w:r>
        <w:rPr>
          <w:rFonts w:hint="default" w:ascii="Helvetica" w:hAnsi="Helvetica" w:eastAsia="Helvetica"/>
          <w:color w:val="212529"/>
          <w:sz w:val="32"/>
          <w:shd w:val="clear" w:color="auto" w:fill="FFFFFF"/>
        </w:rPr>
        <w:t>万元，完成年初预算的332.96%，其中：</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1、教育支出（类）教育管理事务（款）行政运行（项）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年初预算为0万元，支出决算为1.44万元，超出年初预算的100%。决算数大于年初预算数的主要原因是：用于此类的支出增加。</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2、教育支出（类）成人教育（款）成人广播电视教育（项）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年初预算为3万元，支出决算为3万元，完成年初预算的100%。决算数与年初预算数一致，我单位严格按预算执行决算。</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3、教育支出（类）广播电视教育（款）广播电视学校（项）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年初预算为0.34万元，支出决算为0.34万元，完成年初预算的100%。决算数与年初预算数一致，我单位严格按预算执行决算。</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4、社会保障和就业支出（类）行政事业单位养老支出（款）机关事业单位基本养老保险缴费支出（项）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年初预算为80.99万元，支出决算为73.1万元，完成年初预算的90.26%。决算数小于年初预算数的主要原因是：人员变动，导致此类人员经费支出减少。</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5、社会保障和就业支出（类）行政事业单位养老支出（款）机关事业单位职业年金缴费支出（项）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年初预算为3.42万元，支出决算为6.35万元，完成年初预算的185.67%。决算数大于年初预算数的主要原因是：人员增加，导致实缴职业年金比年初预算数增加。</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6、卫生健康支出（类）行政事业单位医疗（款）事业单位医疗（项）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年初预算为55.5万元，支出决算为51.94万元，完成年初预算的93.59%。决算数小于年初预算数的主要原因是：人员变动，用于此类支出减少。</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7、卫生健康支出（类）行政事业单位医疗（款）公务员医疗补助（项）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年初预算为36.48万元，支出决算为37.94万元，完成年初预算的104%。决算数大于年初预算数的主要原因是：人员增加,导致公务员医疗补助比年初预算数增加。</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8、卫生健康支出（类）财政对基本医疗保险基金的补助（款）财政对其他基本医疗保险基金的补助（项）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年初预算为0万元，支出决算为0.75万元，超出年初预算的100%。决算数大于年初预算数的主要原因是：年初预算调整后发生的支出。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9、节能环保支出（类）自然生态保护（款）农村环境保护（项）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年初预算为0万元，支出决算为11万元，超出年初预算的100%。决算数大于年初预算数的主要原因是：年初预算调整后发生的支出。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10、农林水支出（类）农业农村（款）行政运行（项）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年初预算为608.89万元，支出决算为647.02万元，完成年初预算的106.26%。决算数大于年初预算数的主要原因是：归口此科目的项目支出增加。</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11、农林水支出（类）农业农村（款）一般行政管理事务（项）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年初预算为18万元，支出决算为47万元，完成年初预算的261.11%。决算数大于年初预算数的主要原因是：归口此科目的项目支出增加。</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12、农林水支出（类）农业农村（款）事业运行（项）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年初预算为0万元，支出决算为1.7万元，超出年初预算的100%。决算数大于年初预算数的主要原因是：归口此科目的项目支出增加。</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13、农林水支出（类）农业农村（款）科技转化与推广服务（项）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年初预算为0万元，支出决算为177.82万元，超出年初预算的100%。决算数大于年初预算数的主要原因是：年初预算调整后发生的支出。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14、农林水支出（类）农业农村（款）病虫害控制（项）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年初预算为0万元，支出决算为52.77万元，超出年初预算的100%。决算数大于年初预算数的主要原因是：年初预算调整后发生的支出。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15、农林水支出（类）农业农村（款）农产品质量安全（项）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年初预算为6万元，支出决算为6万元，完成年初预算的100%。决算数与年初预算数一致，我单位严格按预算执行决算。</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16、农林水支出（类）农业农村（款）防灾救灾（项）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年初预算为0万元，支出决算为50万元，超出年初预算的100%。决算数大于年初预算数的主要原因是：年初预算调整后发生的支出。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17、农林水支出（类）农业农村（款）农业结构调整补贴（项）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年初预算为0万元，支出决算为75.39万元，超出年初预算的100%。决算数大于年初预算数的主要原因是：年初预算调整后发生的支出。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18、农林水支出（类）农业农村（款）农业生产发展（项）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年初预算为0万元，支出决算为22.71万元，超出年初预算的100%。决算数大于年初预算数的主要原因是：年初预算调整后发生的支出。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19、农林水支出（类）农业农村（款）农村社会事业（项）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年初预算为0万元，支出决算为574.5万元，决算数大于年初预算数的主要原因是：年初预算调整后发生的支出。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20、农林水支出（类）农业农村（款）农业资源保护修复与利用（项）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年初预算为3万元，支出决算为147.94万元，完成年初预算的4,931.33%。决算数大于年初预算数的主要原因是：年初预算调整后发生的支出。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21、农林水支出（类）农业农村（款）其他农业农村支出（项）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年初预算为6万元，支出决算为369.06万元，完成年初预算的6,151%。决算数大于年初预算数的主要原因是：年初预算调整后发生的支出。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22、农林水支出（类）水利（款）其他水利支出（项）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年初预算为0万元，支出决算为200万元，超出年初预算的100%。决算数大于年初预算数的主要原因是：年初预算调整后发生的支出。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23、农林水支出（类）扶贫（款）农村基础设施建设（项）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年初预算为0万元，支出决算为146.7万元，超出年初预算的100%。决算数大于年初预算数的主要原因是：年初预算调整后发生的支出。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24、农林水支出（类）扶贫（款）其他扶贫支出（项）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年初预算为0万元，支出决算为774万元，决算数大于年初预算数的主要原因是：年初预算调整后发生的支出。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Style w:val="5"/>
          <w:rFonts w:hint="default" w:ascii="Helvetica" w:hAnsi="Helvetica" w:eastAsia="Helvetica"/>
          <w:color w:val="212529"/>
          <w:sz w:val="32"/>
          <w:shd w:val="clear" w:color="auto" w:fill="FFFFFF"/>
        </w:rPr>
        <w:t>25、住房保障支出（类）住房改革支出（款）住房公积金（项）</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年初预算为60.73万元，支出决算为58.69万元，完成年初预算的96.64%。决算数小于年初预算数的主要原因是：人员变动，导致实际支出减少。</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六、一般公共预算财政拨款基本支出决算情况说明</w:t>
      </w:r>
    </w:p>
    <w:p>
      <w:pPr>
        <w:pStyle w:val="2"/>
        <w:shd w:val="clear" w:color="auto" w:fill="FFFFFF"/>
        <w:spacing w:before="0" w:beforeLines="0" w:beforeAutospacing="0" w:after="0" w:afterLines="0" w:afterAutospacing="0"/>
        <w:ind w:firstLine="420"/>
        <w:rPr>
          <w:rFonts w:hint="default" w:ascii="Helvetica" w:hAnsi="Helvetica" w:eastAsia="Helvetica"/>
          <w:color w:val="212529"/>
          <w:sz w:val="27"/>
        </w:rPr>
      </w:pPr>
      <w:r>
        <w:rPr>
          <w:rFonts w:hint="default" w:ascii="Helvetica" w:hAnsi="Helvetica" w:eastAsia="Helvetica"/>
          <w:color w:val="212529"/>
          <w:sz w:val="32"/>
          <w:shd w:val="clear" w:color="auto" w:fill="FFFFFF"/>
        </w:rPr>
        <w:t> 2020年度财政拨款基本支出</w:t>
      </w:r>
      <w:r>
        <w:rPr>
          <w:rFonts w:hint="eastAsia" w:ascii="宋体" w:hAnsi="宋体"/>
          <w:color w:val="212529"/>
          <w:sz w:val="32"/>
          <w:shd w:val="clear" w:color="auto" w:fill="FFFFFF"/>
        </w:rPr>
        <w:t>1,258.71</w:t>
      </w:r>
      <w:r>
        <w:rPr>
          <w:rFonts w:hint="default" w:ascii="Helvetica" w:hAnsi="Helvetica" w:eastAsia="Helvetica"/>
          <w:color w:val="212529"/>
          <w:sz w:val="32"/>
          <w:shd w:val="clear" w:color="auto" w:fill="FFFFFF"/>
        </w:rPr>
        <w:t>万元，其中：人员经费</w:t>
      </w:r>
      <w:r>
        <w:rPr>
          <w:rFonts w:hint="eastAsia" w:ascii="宋体" w:hAnsi="宋体"/>
          <w:color w:val="212529"/>
          <w:sz w:val="32"/>
          <w:shd w:val="clear" w:color="auto" w:fill="FFFFFF"/>
        </w:rPr>
        <w:t>1,150.36</w:t>
      </w:r>
      <w:r>
        <w:rPr>
          <w:rFonts w:hint="default" w:ascii="Helvetica" w:hAnsi="Helvetica" w:eastAsia="Helvetica"/>
          <w:color w:val="212529"/>
          <w:sz w:val="32"/>
          <w:shd w:val="clear" w:color="auto" w:fill="FFFFFF"/>
        </w:rPr>
        <w:t>万元，占基本支出的91.39%，主要包括：基本工资、津贴补贴、奖金、伙食补助费、绩效工资、机关事业单位基本养老保险缴费、职业年金缴费、职工基本医疗保险缴费、公务员医疗补助缴费、其他社会保障缴费、住房公积金、生活补助、奖励金、其他对个人和家庭的补助。公用经费</w:t>
      </w:r>
      <w:r>
        <w:rPr>
          <w:rFonts w:hint="eastAsia" w:ascii="宋体" w:hAnsi="宋体"/>
          <w:color w:val="212529"/>
          <w:sz w:val="32"/>
          <w:shd w:val="clear" w:color="auto" w:fill="FFFFFF"/>
        </w:rPr>
        <w:t>108.35</w:t>
      </w:r>
      <w:r>
        <w:rPr>
          <w:rFonts w:hint="default" w:ascii="Helvetica" w:hAnsi="Helvetica" w:eastAsia="Helvetica"/>
          <w:color w:val="212529"/>
          <w:sz w:val="32"/>
          <w:shd w:val="clear" w:color="auto" w:fill="FFFFFF"/>
        </w:rPr>
        <w:t>万元，</w:t>
      </w:r>
      <w:r>
        <w:rPr>
          <w:rFonts w:hint="eastAsia" w:ascii="宋体" w:hAnsi="宋体"/>
          <w:color w:val="212529"/>
          <w:sz w:val="32"/>
          <w:shd w:val="clear" w:color="auto" w:fill="FFFFFF"/>
        </w:rPr>
        <w:t>占基本支出的8.61%</w:t>
      </w:r>
      <w:r>
        <w:rPr>
          <w:rFonts w:hint="default" w:ascii="Helvetica" w:hAnsi="Helvetica" w:eastAsia="Helvetica"/>
          <w:color w:val="212529"/>
          <w:sz w:val="32"/>
          <w:shd w:val="clear" w:color="auto" w:fill="FFFFFF"/>
        </w:rPr>
        <w:t>，主要包括：</w:t>
      </w:r>
      <w:r>
        <w:rPr>
          <w:rFonts w:hint="eastAsia" w:ascii="宋体" w:hAnsi="宋体"/>
          <w:color w:val="212529"/>
          <w:sz w:val="32"/>
          <w:shd w:val="clear" w:color="auto" w:fill="FFFFFF"/>
        </w:rPr>
        <w:t>办公费、印刷费、水费、电费、邮电费、物业管理费、差旅费、维修（护）费、专用材料费、劳务费、委托业务费、工会经费、福利费、公务用车运行维护费、税金及附加费用、其他商品和服务支出。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七、一般公共预算财政拨款三公经费支出决算情况说明</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b/>
          <w:color w:val="212529"/>
          <w:sz w:val="32"/>
          <w:shd w:val="clear" w:color="auto" w:fill="FFFFFF"/>
        </w:rPr>
        <w:t>（一）</w:t>
      </w:r>
      <w:r>
        <w:rPr>
          <w:rFonts w:hint="eastAsia" w:ascii="宋体" w:hAnsi="宋体"/>
          <w:b/>
          <w:color w:val="212529"/>
          <w:sz w:val="32"/>
          <w:shd w:val="clear" w:color="auto" w:fill="FFFFFF"/>
        </w:rPr>
        <w:t>“三公”经费财政拨款支出决算总体情况说明</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2020年度“三公”经费财政拨款支出预算为</w:t>
      </w:r>
      <w:r>
        <w:rPr>
          <w:rFonts w:hint="eastAsia" w:ascii="宋体" w:hAnsi="宋体"/>
          <w:color w:val="212529"/>
          <w:sz w:val="32"/>
          <w:shd w:val="clear" w:color="auto" w:fill="FFFFFF"/>
        </w:rPr>
        <w:t>1.62</w:t>
      </w:r>
      <w:r>
        <w:rPr>
          <w:rFonts w:hint="default" w:ascii="Helvetica" w:hAnsi="Helvetica" w:eastAsia="Helvetica"/>
          <w:color w:val="212529"/>
          <w:sz w:val="32"/>
          <w:shd w:val="clear" w:color="auto" w:fill="FFFFFF"/>
        </w:rPr>
        <w:t>万元，支出决算为</w:t>
      </w:r>
      <w:r>
        <w:rPr>
          <w:rFonts w:hint="eastAsia" w:ascii="宋体" w:hAnsi="宋体"/>
          <w:color w:val="212529"/>
          <w:sz w:val="32"/>
          <w:shd w:val="clear" w:color="auto" w:fill="FFFFFF"/>
        </w:rPr>
        <w:t>1.62</w:t>
      </w:r>
      <w:r>
        <w:rPr>
          <w:rFonts w:hint="default" w:ascii="Helvetica" w:hAnsi="Helvetica" w:eastAsia="Helvetica"/>
          <w:color w:val="212529"/>
          <w:sz w:val="32"/>
          <w:shd w:val="clear" w:color="auto" w:fill="FFFFFF"/>
        </w:rPr>
        <w:t>万元，完成预算的100%，</w:t>
      </w:r>
      <w:r>
        <w:rPr>
          <w:rFonts w:hint="eastAsia" w:ascii="宋体" w:hAnsi="宋体"/>
          <w:color w:val="212529"/>
          <w:sz w:val="32"/>
          <w:shd w:val="clear" w:color="auto" w:fill="FFFFFF"/>
        </w:rPr>
        <w:t>其中：</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因公出国（境）费支出预算为0万元，支出决算为0万元，决算数与预算数一致，我单位严格按预算执行决算，因公出国（境）费支出与上年持平。</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eastAsia" w:ascii="宋体" w:hAnsi="宋体"/>
          <w:color w:val="212529"/>
          <w:sz w:val="32"/>
          <w:shd w:val="clear" w:color="auto" w:fill="FFFFFF"/>
        </w:rPr>
        <w:t>公务接待费支出预算为</w:t>
      </w:r>
      <w:r>
        <w:rPr>
          <w:rFonts w:hint="default" w:ascii="Helvetica" w:hAnsi="Helvetica" w:eastAsia="Helvetica"/>
          <w:color w:val="212529"/>
          <w:sz w:val="32"/>
          <w:shd w:val="clear" w:color="auto" w:fill="FFFFFF"/>
        </w:rPr>
        <w:t>0.09万元，支出决算为0.09万元，完成预算的100%，决算数与预算数一致，我单位严格按预算执行决算，与上年相比增加0.09万元，增长100%，增长的主要原因是上年无此类预算支出。</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eastAsia" w:ascii="宋体" w:hAnsi="宋体"/>
          <w:color w:val="212529"/>
          <w:sz w:val="32"/>
          <w:shd w:val="clear" w:color="auto" w:fill="FFFFFF"/>
        </w:rPr>
        <w:t>公务用车购置费及运行维护费支出预算为</w:t>
      </w:r>
      <w:r>
        <w:rPr>
          <w:rFonts w:hint="default" w:ascii="Helvetica" w:hAnsi="Helvetica" w:eastAsia="Helvetica"/>
          <w:color w:val="212529"/>
          <w:sz w:val="32"/>
          <w:shd w:val="clear" w:color="auto" w:fill="FFFFFF"/>
        </w:rPr>
        <w:t>1.53万元，支出决算为1.53万元，完成预算的100%，决算数与预算数一致，我单位严格按预算执行决算，与上年相比减少2.98万元，下降66.08%，下降的主要原因是严格执行上级文件要求，厉行节约。</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b/>
          <w:color w:val="212529"/>
          <w:sz w:val="32"/>
          <w:shd w:val="clear" w:color="auto" w:fill="FFFFFF"/>
        </w:rPr>
        <w:t>（二）</w:t>
      </w:r>
      <w:r>
        <w:rPr>
          <w:rFonts w:hint="eastAsia" w:ascii="宋体" w:hAnsi="宋体"/>
          <w:b/>
          <w:color w:val="212529"/>
          <w:sz w:val="32"/>
          <w:shd w:val="clear" w:color="auto" w:fill="FFFFFF"/>
        </w:rPr>
        <w:t>“三公”经费财政拨款支出决算具体情况说明</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2020年度“三公”经费财政拨款支出决算中，公务接待费支出决算0.09万元，占5.56%，因公出国（境）费支出决算</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，公务用车购置费及运行维护费支出决算</w:t>
      </w:r>
      <w:r>
        <w:rPr>
          <w:rFonts w:hint="eastAsia" w:ascii="宋体" w:hAnsi="宋体"/>
          <w:color w:val="212529"/>
          <w:sz w:val="32"/>
          <w:shd w:val="clear" w:color="auto" w:fill="FFFFFF"/>
        </w:rPr>
        <w:t>1.53</w:t>
      </w:r>
      <w:r>
        <w:rPr>
          <w:rFonts w:hint="default" w:ascii="Helvetica" w:hAnsi="Helvetica" w:eastAsia="Helvetica"/>
          <w:color w:val="212529"/>
          <w:sz w:val="32"/>
          <w:shd w:val="clear" w:color="auto" w:fill="FFFFFF"/>
        </w:rPr>
        <w:t>万元，占</w:t>
      </w:r>
      <w:r>
        <w:rPr>
          <w:rFonts w:hint="eastAsia" w:ascii="宋体" w:hAnsi="宋体"/>
          <w:color w:val="212529"/>
          <w:sz w:val="32"/>
          <w:shd w:val="clear" w:color="auto" w:fill="FFFFFF"/>
        </w:rPr>
        <w:t>94.44%。其中：</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1、因公出国（境）费支出决算为0万元，全年安排因公出国（境）团组0个，累计0人次，我单位2020年度无因公出国（境）费支出。</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2、公务接待费支出决算为0.09万元，全年共接待来访团组1个、来宾15人次，主要是上级领导指导业务工作发生的接待支出发生的接待支出。</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3、公务用车购置费及运行维护费支出决算为1.53万元，其中：公务用车购置费0万元，单位本级更新公务用车0辆。公务用车运行维护费1.53万元，主要是公务用车支出，截至2020年12月31日，我单位开支财政拨款的公务用车保有量为3辆。</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八、政府性基金预算收入支出决算情况</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益阳市资阳区农业农村局2020年度没有政府性基金收入，也没有使用政府性基金安排的支出，并已公开空表。</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九、国有资本经营预算财政拨款支出决算情况</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default" w:ascii="Helvetica" w:hAnsi="Helvetica" w:eastAsia="Helvetica"/>
          <w:color w:val="212529"/>
          <w:sz w:val="32"/>
          <w:shd w:val="clear" w:color="auto" w:fill="FFFFFF"/>
        </w:rPr>
        <w:t>益阳市资阳区农业农村局2020年度没有国有资本经营预算财政拨款收入，也没有使用国有资本经营预算财政拨款安排的支出，并已公开空表。</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eastAsia" w:ascii="宋体" w:hAnsi="宋体"/>
          <w:b/>
          <w:color w:val="212529"/>
          <w:sz w:val="32"/>
          <w:shd w:val="clear" w:color="auto" w:fill="FFFFFF"/>
        </w:rPr>
        <w:t>十、关于机关运行经费支出说明</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益阳市资阳区农业农村局2020年度机关运行经费支出108.75万元，比年初预算数减少301.11万元，下降73.47%</w:t>
      </w:r>
      <w:r>
        <w:rPr>
          <w:rFonts w:hint="eastAsia" w:ascii="宋体" w:hAnsi="宋体"/>
          <w:color w:val="212529"/>
          <w:sz w:val="32"/>
          <w:shd w:val="clear" w:color="auto" w:fill="FFFFFF"/>
        </w:rPr>
        <w:t>。主要原因是：归口此科目的项目支出减少。</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eastAsia" w:ascii="宋体" w:hAnsi="宋体"/>
          <w:b/>
          <w:color w:val="212529"/>
          <w:sz w:val="32"/>
          <w:shd w:val="clear" w:color="auto" w:fill="FFFFFF"/>
        </w:rPr>
        <w:t>十一、一般性支出情况</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2020</w:t>
      </w:r>
      <w:r>
        <w:rPr>
          <w:rFonts w:hint="eastAsia" w:ascii="宋体" w:hAnsi="宋体"/>
          <w:color w:val="212529"/>
          <w:sz w:val="32"/>
          <w:shd w:val="clear" w:color="auto" w:fill="FFFFFF"/>
        </w:rPr>
        <w:t>年度益阳市资阳区农业农村局一般性支出</w:t>
      </w:r>
      <w:r>
        <w:rPr>
          <w:rFonts w:hint="default" w:ascii="Helvetica" w:hAnsi="Helvetica" w:eastAsia="Helvetica"/>
          <w:color w:val="212529"/>
          <w:sz w:val="32"/>
          <w:shd w:val="clear" w:color="auto" w:fill="FFFFFF"/>
        </w:rPr>
        <w:t>158.11</w:t>
      </w:r>
      <w:r>
        <w:rPr>
          <w:rFonts w:hint="eastAsia" w:ascii="宋体" w:hAnsi="宋体"/>
          <w:color w:val="212529"/>
          <w:sz w:val="32"/>
          <w:shd w:val="clear" w:color="auto" w:fill="FFFFFF"/>
        </w:rPr>
        <w:t>万元，其中：会议费0万元，我单位2020年度无会议费支出；开支培训费</w:t>
      </w:r>
      <w:r>
        <w:rPr>
          <w:rFonts w:hint="default" w:ascii="Helvetica" w:hAnsi="Helvetica" w:eastAsia="Helvetica"/>
          <w:color w:val="212529"/>
          <w:sz w:val="32"/>
          <w:shd w:val="clear" w:color="auto" w:fill="FFFFFF"/>
        </w:rPr>
        <w:t>12.12</w:t>
      </w:r>
      <w:r>
        <w:rPr>
          <w:rFonts w:hint="eastAsia" w:ascii="宋体" w:hAnsi="宋体"/>
          <w:color w:val="212529"/>
          <w:sz w:val="32"/>
          <w:shd w:val="clear" w:color="auto" w:fill="FFFFFF"/>
        </w:rPr>
        <w:t>万元，归口此类的支出增加；2020年度未使用一般公共预算财政拨款举办节庆、晚会、论坛、赛事活动。办公费</w:t>
      </w:r>
      <w:r>
        <w:rPr>
          <w:rFonts w:hint="default" w:ascii="Helvetica" w:hAnsi="Helvetica" w:eastAsia="Helvetica"/>
          <w:color w:val="212529"/>
          <w:sz w:val="32"/>
          <w:shd w:val="clear" w:color="auto" w:fill="FFFFFF"/>
        </w:rPr>
        <w:t>25.79</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印刷费23.19</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咨询费4.36</w:t>
      </w:r>
      <w:r>
        <w:rPr>
          <w:rFonts w:hint="eastAsia" w:ascii="宋体" w:hAnsi="宋体"/>
          <w:color w:val="212529"/>
          <w:sz w:val="32"/>
          <w:shd w:val="clear" w:color="auto" w:fill="FFFFFF"/>
        </w:rPr>
        <w:t>万元；水费</w:t>
      </w:r>
      <w:r>
        <w:rPr>
          <w:rFonts w:hint="default" w:ascii="Helvetica" w:hAnsi="Helvetica" w:eastAsia="Helvetica"/>
          <w:color w:val="212529"/>
          <w:sz w:val="32"/>
          <w:shd w:val="clear" w:color="auto" w:fill="FFFFFF"/>
        </w:rPr>
        <w:t>4.19</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电费8.94</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邮电费0.38</w:t>
      </w:r>
      <w:r>
        <w:rPr>
          <w:rFonts w:hint="eastAsia" w:ascii="宋体" w:hAnsi="宋体"/>
          <w:color w:val="212529"/>
          <w:sz w:val="32"/>
          <w:shd w:val="clear" w:color="auto" w:fill="FFFFFF"/>
        </w:rPr>
        <w:t>万元；取暖费</w:t>
      </w:r>
      <w:r>
        <w:rPr>
          <w:rFonts w:hint="default" w:ascii="Helvetica" w:hAnsi="Helvetica" w:eastAsia="Helvetica"/>
          <w:color w:val="212529"/>
          <w:sz w:val="32"/>
          <w:shd w:val="clear" w:color="auto" w:fill="FFFFFF"/>
        </w:rPr>
        <w:t>0</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物业管理费4.04</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差旅费6.69</w:t>
      </w:r>
      <w:r>
        <w:rPr>
          <w:rFonts w:hint="eastAsia" w:ascii="宋体" w:hAnsi="宋体"/>
          <w:color w:val="212529"/>
          <w:sz w:val="32"/>
          <w:shd w:val="clear" w:color="auto" w:fill="FFFFFF"/>
        </w:rPr>
        <w:t>万元；因公出国（境）费用</w:t>
      </w:r>
      <w:r>
        <w:rPr>
          <w:rFonts w:hint="default" w:ascii="Helvetica" w:hAnsi="Helvetica" w:eastAsia="Helvetica"/>
          <w:color w:val="212529"/>
          <w:sz w:val="32"/>
          <w:shd w:val="clear" w:color="auto" w:fill="FFFFFF"/>
        </w:rPr>
        <w:t>0</w:t>
      </w:r>
      <w:r>
        <w:rPr>
          <w:rFonts w:hint="eastAsia" w:ascii="宋体" w:hAnsi="宋体"/>
          <w:color w:val="212529"/>
          <w:sz w:val="32"/>
          <w:shd w:val="clear" w:color="auto" w:fill="FFFFFF"/>
        </w:rPr>
        <w:t>万元；维修（护）费</w:t>
      </w:r>
      <w:r>
        <w:rPr>
          <w:rFonts w:hint="default" w:ascii="Helvetica" w:hAnsi="Helvetica" w:eastAsia="Helvetica"/>
          <w:color w:val="212529"/>
          <w:sz w:val="32"/>
          <w:shd w:val="clear" w:color="auto" w:fill="FFFFFF"/>
        </w:rPr>
        <w:t>27.12</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租赁费0万元；</w:t>
      </w:r>
      <w:r>
        <w:rPr>
          <w:rFonts w:hint="eastAsia" w:ascii="宋体" w:hAnsi="宋体"/>
          <w:color w:val="212529"/>
          <w:sz w:val="32"/>
          <w:shd w:val="clear" w:color="auto" w:fill="FFFFFF"/>
        </w:rPr>
        <w:t>公务接待费</w:t>
      </w:r>
      <w:r>
        <w:rPr>
          <w:rFonts w:hint="default" w:ascii="Helvetica" w:hAnsi="Helvetica" w:eastAsia="Helvetica"/>
          <w:color w:val="212529"/>
          <w:sz w:val="32"/>
          <w:shd w:val="clear" w:color="auto" w:fill="FFFFFF"/>
        </w:rPr>
        <w:t>0.09</w:t>
      </w:r>
      <w:r>
        <w:rPr>
          <w:rFonts w:hint="eastAsia" w:ascii="宋体" w:hAnsi="宋体"/>
          <w:color w:val="212529"/>
          <w:sz w:val="32"/>
          <w:shd w:val="clear" w:color="auto" w:fill="FFFFFF"/>
        </w:rPr>
        <w:t>万元；被装购置费</w:t>
      </w:r>
      <w:r>
        <w:rPr>
          <w:rFonts w:hint="default" w:ascii="Helvetica" w:hAnsi="Helvetica" w:eastAsia="Helvetica"/>
          <w:color w:val="212529"/>
          <w:sz w:val="32"/>
          <w:shd w:val="clear" w:color="auto" w:fill="FFFFFF"/>
        </w:rPr>
        <w:t>0</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劳务费28.94</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委托业务费5.83</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公务用车运行维护费1.53</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其他交通费用0.83</w:t>
      </w:r>
      <w:r>
        <w:rPr>
          <w:rFonts w:hint="eastAsia" w:ascii="宋体" w:hAnsi="宋体"/>
          <w:color w:val="212529"/>
          <w:sz w:val="32"/>
          <w:shd w:val="clear" w:color="auto" w:fill="FFFFFF"/>
        </w:rPr>
        <w:t>万元；房屋建筑物购建</w:t>
      </w:r>
      <w:r>
        <w:rPr>
          <w:rFonts w:hint="default" w:ascii="Helvetica" w:hAnsi="Helvetica" w:eastAsia="Helvetica"/>
          <w:color w:val="212529"/>
          <w:sz w:val="32"/>
          <w:shd w:val="clear" w:color="auto" w:fill="FFFFFF"/>
        </w:rPr>
        <w:t>0</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办公设备购置4.07</w:t>
      </w:r>
      <w:r>
        <w:rPr>
          <w:rFonts w:hint="eastAsia" w:ascii="宋体" w:hAnsi="宋体"/>
          <w:color w:val="212529"/>
          <w:sz w:val="32"/>
          <w:shd w:val="clear" w:color="auto" w:fill="FFFFFF"/>
        </w:rPr>
        <w:t>万元；公务用车购置</w:t>
      </w:r>
      <w:r>
        <w:rPr>
          <w:rFonts w:hint="default" w:ascii="Helvetica" w:hAnsi="Helvetica" w:eastAsia="Helvetica"/>
          <w:color w:val="212529"/>
          <w:sz w:val="32"/>
          <w:shd w:val="clear" w:color="auto" w:fill="FFFFFF"/>
        </w:rPr>
        <w:t>0</w:t>
      </w:r>
      <w:r>
        <w:rPr>
          <w:rFonts w:hint="eastAsia" w:ascii="宋体" w:hAnsi="宋体"/>
          <w:color w:val="212529"/>
          <w:sz w:val="32"/>
          <w:shd w:val="clear" w:color="auto" w:fill="FFFFFF"/>
        </w:rPr>
        <w:t>万元；其他交通工具购置</w:t>
      </w:r>
      <w:r>
        <w:rPr>
          <w:rFonts w:hint="default" w:ascii="Helvetica" w:hAnsi="Helvetica" w:eastAsia="Helvetica"/>
          <w:color w:val="212529"/>
          <w:sz w:val="32"/>
          <w:shd w:val="clear" w:color="auto" w:fill="FFFFFF"/>
        </w:rPr>
        <w:t>0</w:t>
      </w:r>
      <w:r>
        <w:rPr>
          <w:rFonts w:hint="eastAsia" w:ascii="宋体" w:hAnsi="宋体"/>
          <w:color w:val="212529"/>
          <w:sz w:val="32"/>
          <w:shd w:val="clear" w:color="auto" w:fill="FFFFFF"/>
        </w:rPr>
        <w:t>万元。</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b/>
          <w:color w:val="212529"/>
          <w:sz w:val="32"/>
          <w:shd w:val="clear" w:color="auto" w:fill="FFFFFF"/>
        </w:rPr>
        <w:t>十二、关于政府采购支出说明</w:t>
      </w:r>
    </w:p>
    <w:p>
      <w:pPr>
        <w:pStyle w:val="2"/>
        <w:shd w:val="clear" w:color="auto" w:fill="FFFFFF"/>
        <w:spacing w:before="0" w:beforeLines="0" w:beforeAutospacing="0" w:after="0" w:afterLines="0" w:afterAutospacing="0"/>
        <w:ind w:firstLine="640"/>
        <w:jc w:val="both"/>
        <w:rPr>
          <w:rFonts w:hint="default" w:ascii="Helvetica" w:hAnsi="Helvetica" w:eastAsia="Helvetica"/>
          <w:color w:val="212529"/>
          <w:sz w:val="27"/>
        </w:rPr>
      </w:pPr>
      <w:r>
        <w:rPr>
          <w:rFonts w:hint="default" w:ascii="Helvetica" w:hAnsi="Helvetica" w:eastAsia="Helvetica"/>
          <w:color w:val="212529"/>
          <w:sz w:val="32"/>
          <w:shd w:val="clear" w:color="auto" w:fill="FFFFFF"/>
        </w:rPr>
        <w:t>益阳市资阳区农业农村局</w:t>
      </w:r>
      <w:r>
        <w:rPr>
          <w:rFonts w:hint="eastAsia" w:ascii="宋体" w:hAnsi="宋体"/>
          <w:color w:val="212529"/>
          <w:sz w:val="32"/>
          <w:shd w:val="clear" w:color="auto" w:fill="FFFFFF"/>
        </w:rPr>
        <w:t>2020</w:t>
      </w:r>
      <w:r>
        <w:rPr>
          <w:rFonts w:hint="default" w:ascii="Helvetica" w:hAnsi="Helvetica" w:eastAsia="Helvetica"/>
          <w:color w:val="212529"/>
          <w:sz w:val="32"/>
          <w:shd w:val="clear" w:color="auto" w:fill="FFFFFF"/>
        </w:rPr>
        <w:t>年度政府采购支出总额769.89万元，其中：政府采购货物支出572.85万元、政府采购工程支出0万元、政府采购服务支出197.03</w:t>
      </w:r>
      <w:r>
        <w:rPr>
          <w:rFonts w:hint="eastAsia" w:ascii="宋体" w:hAnsi="宋体"/>
          <w:color w:val="212529"/>
          <w:sz w:val="32"/>
          <w:shd w:val="clear" w:color="auto" w:fill="FFFFFF"/>
        </w:rPr>
        <w:t>万元。</w:t>
      </w:r>
      <w:r>
        <w:rPr>
          <w:rFonts w:hint="default" w:ascii="Helvetica" w:hAnsi="Helvetica" w:eastAsia="Helvetica"/>
          <w:color w:val="212529"/>
          <w:sz w:val="32"/>
          <w:shd w:val="clear" w:color="auto" w:fill="FFFFFF"/>
        </w:rPr>
        <w:t>授予中小企业合同金额769.89</w:t>
      </w:r>
      <w:r>
        <w:rPr>
          <w:rFonts w:hint="eastAsia" w:ascii="宋体" w:hAnsi="宋体"/>
          <w:color w:val="212529"/>
          <w:sz w:val="32"/>
          <w:shd w:val="clear" w:color="auto" w:fill="FFFFFF"/>
        </w:rPr>
        <w:t>万元，占政府采购支出总额的100%，其中：</w:t>
      </w:r>
      <w:r>
        <w:rPr>
          <w:rFonts w:hint="default" w:ascii="Helvetica" w:hAnsi="Helvetica" w:eastAsia="Helvetica"/>
          <w:color w:val="212529"/>
          <w:sz w:val="32"/>
          <w:shd w:val="clear" w:color="auto" w:fill="FFFFFF"/>
        </w:rPr>
        <w:t>授予小微企业合同金额769.89万元</w:t>
      </w:r>
      <w:r>
        <w:rPr>
          <w:rFonts w:hint="eastAsia" w:ascii="宋体" w:hAnsi="宋体"/>
          <w:color w:val="212529"/>
          <w:sz w:val="32"/>
          <w:shd w:val="clear" w:color="auto" w:fill="FFFFFF"/>
        </w:rPr>
        <w:t>，占政府采购支出总额的100%。</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b/>
          <w:color w:val="212529"/>
          <w:sz w:val="32"/>
          <w:shd w:val="clear" w:color="auto" w:fill="FFFFFF"/>
        </w:rPr>
        <w:t>十三、关于国有资产占用情况说明</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default" w:ascii="Helvetica" w:hAnsi="Helvetica" w:eastAsia="Helvetica"/>
          <w:color w:val="212529"/>
          <w:sz w:val="32"/>
          <w:shd w:val="clear" w:color="auto" w:fill="FFFFFF"/>
        </w:rPr>
        <w:t>截至</w:t>
      </w:r>
      <w:r>
        <w:rPr>
          <w:rFonts w:hint="eastAsia" w:ascii="宋体" w:hAnsi="宋体"/>
          <w:color w:val="212529"/>
          <w:sz w:val="32"/>
          <w:shd w:val="clear" w:color="auto" w:fill="FFFFFF"/>
        </w:rPr>
        <w:t>2020</w:t>
      </w:r>
      <w:r>
        <w:rPr>
          <w:rFonts w:hint="default" w:ascii="Helvetica" w:hAnsi="Helvetica" w:eastAsia="Helvetica"/>
          <w:color w:val="212529"/>
          <w:sz w:val="32"/>
          <w:shd w:val="clear" w:color="auto" w:fill="FFFFFF"/>
        </w:rPr>
        <w:t>年12月31日，益阳市资阳区农业农村局共有车辆</w:t>
      </w:r>
      <w:r>
        <w:rPr>
          <w:rFonts w:hint="eastAsia" w:ascii="Helvetica" w:hAnsi="Helvetica"/>
          <w:color w:val="212529"/>
          <w:sz w:val="32"/>
          <w:shd w:val="clear" w:color="auto" w:fill="FFFFFF"/>
        </w:rPr>
        <w:t>3</w:t>
      </w:r>
      <w:r>
        <w:rPr>
          <w:rFonts w:hint="default" w:ascii="Helvetica" w:hAnsi="Helvetica" w:eastAsia="Helvetica"/>
          <w:color w:val="212529"/>
          <w:sz w:val="32"/>
          <w:shd w:val="clear" w:color="auto" w:fill="FFFFFF"/>
        </w:rPr>
        <w:t>辆（台），其中：副部（省）级及以上领导用车</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辆、主要领导干部用车</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辆、机要通信用车</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辆、应急保障用车</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辆、执法执勤用车</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辆、特种专业技术用车</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辆、离退休干部用车</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辆、其他用车</w:t>
      </w:r>
      <w:r>
        <w:rPr>
          <w:rFonts w:hint="eastAsia" w:ascii="宋体" w:hAnsi="宋体"/>
          <w:color w:val="212529"/>
          <w:sz w:val="32"/>
          <w:shd w:val="clear" w:color="auto" w:fill="FFFFFF"/>
        </w:rPr>
        <w:t>3</w:t>
      </w:r>
      <w:r>
        <w:rPr>
          <w:rFonts w:hint="default" w:ascii="Helvetica" w:hAnsi="Helvetica" w:eastAsia="Helvetica"/>
          <w:color w:val="212529"/>
          <w:sz w:val="32"/>
          <w:shd w:val="clear" w:color="auto" w:fill="FFFFFF"/>
        </w:rPr>
        <w:t>辆，其他用车主要是挂帐资产；单价50万元（含）以上通用设备</w:t>
      </w:r>
      <w:r>
        <w:rPr>
          <w:rFonts w:hint="eastAsia" w:ascii="宋体" w:hAnsi="宋体"/>
          <w:color w:val="212529"/>
          <w:sz w:val="32"/>
          <w:shd w:val="clear" w:color="auto" w:fill="FFFFFF"/>
        </w:rPr>
        <w:t>0</w:t>
      </w:r>
      <w:r>
        <w:rPr>
          <w:rFonts w:hint="default" w:ascii="Helvetica" w:hAnsi="Helvetica" w:eastAsia="Helvetica"/>
          <w:color w:val="212529"/>
          <w:sz w:val="32"/>
          <w:shd w:val="clear" w:color="auto" w:fill="FFFFFF"/>
        </w:rPr>
        <w:t>台（套），单价100万元（含）以上专用设备</w:t>
      </w:r>
      <w:r>
        <w:rPr>
          <w:rFonts w:hint="eastAsia" w:ascii="宋体" w:hAnsi="宋体"/>
          <w:color w:val="212529"/>
          <w:sz w:val="32"/>
          <w:shd w:val="clear" w:color="auto" w:fill="FFFFFF"/>
        </w:rPr>
        <w:t>0台（套）。</w:t>
      </w:r>
    </w:p>
    <w:p>
      <w:pPr>
        <w:pStyle w:val="2"/>
        <w:shd w:val="clear" w:color="auto" w:fill="FFFFFF"/>
        <w:spacing w:before="0" w:beforeLines="0" w:beforeAutospacing="0" w:after="0" w:afterLines="0" w:afterAutospacing="0"/>
        <w:ind w:firstLine="641"/>
        <w:rPr>
          <w:rFonts w:hint="default" w:ascii="Helvetica" w:hAnsi="Helvetica" w:eastAsia="Helvetica"/>
          <w:color w:val="212529"/>
          <w:sz w:val="27"/>
        </w:rPr>
      </w:pPr>
      <w:r>
        <w:rPr>
          <w:rFonts w:hint="eastAsia" w:ascii="宋体" w:hAnsi="宋体"/>
          <w:b/>
          <w:color w:val="212529"/>
          <w:sz w:val="32"/>
          <w:shd w:val="clear" w:color="auto" w:fill="FFFFFF"/>
        </w:rPr>
        <w:t>十四、关于2020年度预算绩效情况说明</w:t>
      </w:r>
    </w:p>
    <w:p>
      <w:pPr>
        <w:pStyle w:val="2"/>
        <w:shd w:val="clear" w:color="auto" w:fill="FFFFFF"/>
        <w:spacing w:before="0" w:beforeLines="0" w:beforeAutospacing="0" w:after="0" w:afterLines="0" w:afterAutospacing="0"/>
        <w:ind w:firstLine="640"/>
        <w:rPr>
          <w:rFonts w:hint="default" w:ascii="Helvetica" w:hAnsi="Helvetica" w:eastAsia="Helvetica"/>
          <w:color w:val="212529"/>
          <w:sz w:val="27"/>
        </w:rPr>
      </w:pPr>
      <w:r>
        <w:rPr>
          <w:rFonts w:hint="eastAsia" w:ascii="宋体" w:hAnsi="宋体"/>
          <w:color w:val="212529"/>
          <w:sz w:val="32"/>
          <w:shd w:val="clear" w:color="auto" w:fill="FFFFFF"/>
        </w:rPr>
        <w:t>为了加强对财政资金的监督管理，充分有效发挥财政资金的作用，根据资金的使用进度，本部门已组织相关股室开展了总体预算绩效评价和专项资金绩效评价。2020年，本单位共申报项目10个，纳入一般公共预算项目10个，项目支出预算总计1504万元，财政经费拨款216万元，上级转移支付1288万元。项目完成率100%，完成及时率100%，质量达标率100 %，成本节约率100%。</w:t>
      </w:r>
    </w:p>
    <w:p>
      <w:pPr>
        <w:pStyle w:val="2"/>
        <w:shd w:val="clear" w:color="auto" w:fill="FFFFFF"/>
        <w:spacing w:before="0" w:beforeLines="0" w:beforeAutospacing="0" w:after="0" w:afterLines="0" w:afterAutospacing="0"/>
        <w:rPr>
          <w:rFonts w:hint="default" w:ascii="Helvetica" w:hAnsi="Helvetica" w:eastAsia="Helvetica"/>
          <w:color w:val="212529"/>
          <w:sz w:val="24"/>
        </w:rPr>
      </w:pPr>
    </w:p>
    <w:p>
      <w:pPr>
        <w:shd w:val="clear" w:color="auto" w:fill="FFFFFF"/>
        <w:spacing w:beforeLines="0" w:afterLines="0"/>
        <w:rPr>
          <w:rFonts w:hint="default" w:ascii="font-size:10.5pt;text-indent:32" w:hAnsi="font-size:10.5pt;text-indent:32" w:eastAsia="font-size:10.5pt;text-indent:32"/>
          <w:color w:val="212529"/>
          <w:sz w:val="24"/>
        </w:rPr>
      </w:pPr>
    </w:p>
    <w:p>
      <w:pPr>
        <w:shd w:val="clear" w:color="auto" w:fill="FFFFFF"/>
        <w:spacing w:beforeLines="0" w:afterLines="0"/>
        <w:jc w:val="center"/>
        <w:rPr>
          <w:rFonts w:hint="default" w:ascii="Helvetica" w:hAnsi="Helvetica" w:eastAsia="Helvetica"/>
          <w:color w:val="212529"/>
          <w:sz w:val="21"/>
        </w:rPr>
      </w:pPr>
      <w:r>
        <w:rPr>
          <w:rFonts w:hint="eastAsia" w:ascii="宋体" w:hAnsi="宋体"/>
          <w:b/>
          <w:color w:val="212529"/>
          <w:kern w:val="0"/>
          <w:sz w:val="36"/>
          <w:shd w:val="clear" w:color="auto" w:fill="FFFFFF"/>
          <w:lang w:val="en-US" w:eastAsia="zh-CN"/>
        </w:rPr>
        <w:t>第四部分 名词解释</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财政拨款收入</w:t>
      </w:r>
      <w:r>
        <w:rPr>
          <w:rFonts w:hint="eastAsia" w:ascii="宋体" w:hAnsi="宋体"/>
          <w:color w:val="212529"/>
          <w:kern w:val="0"/>
          <w:sz w:val="32"/>
          <w:shd w:val="clear" w:color="auto" w:fill="FFFFFF"/>
          <w:lang w:val="en-US" w:eastAsia="zh-CN"/>
        </w:rPr>
        <w:t>：指财政当年拨付的资金。包括一般公共预算财政拨款和政府性基金财政拨款。</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上级补助收入</w:t>
      </w:r>
      <w:r>
        <w:rPr>
          <w:rFonts w:hint="eastAsia" w:ascii="宋体" w:hAnsi="宋体"/>
          <w:color w:val="212529"/>
          <w:kern w:val="0"/>
          <w:sz w:val="32"/>
          <w:shd w:val="clear" w:color="auto" w:fill="FFFFFF"/>
          <w:lang w:val="en-US" w:eastAsia="zh-CN"/>
        </w:rPr>
        <w:t>：指事业单位从主管部门和上级单位取得的非财政补助收入。</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事业收入：</w:t>
      </w:r>
      <w:r>
        <w:rPr>
          <w:rFonts w:hint="eastAsia" w:ascii="宋体" w:hAnsi="宋体"/>
          <w:color w:val="212529"/>
          <w:kern w:val="0"/>
          <w:sz w:val="32"/>
          <w:shd w:val="clear" w:color="auto" w:fill="FFFFFF"/>
          <w:lang w:val="en-US" w:eastAsia="zh-CN"/>
        </w:rPr>
        <w:t>指事业单位开展专业业务活动及辅助活动所取得的收入。</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经营收入：</w:t>
      </w:r>
      <w:r>
        <w:rPr>
          <w:rFonts w:hint="eastAsia" w:ascii="宋体" w:hAnsi="宋体"/>
          <w:color w:val="212529"/>
          <w:kern w:val="0"/>
          <w:sz w:val="32"/>
          <w:shd w:val="clear" w:color="auto" w:fill="FFFFFF"/>
          <w:lang w:val="en-US" w:eastAsia="zh-CN"/>
        </w:rPr>
        <w:t>指事业单位在专业业务活动及其辅助活动之外开展非独立核算经营活动取得的收入。</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附属单位上缴收入</w:t>
      </w:r>
      <w:r>
        <w:rPr>
          <w:rFonts w:hint="eastAsia" w:ascii="宋体" w:hAnsi="宋体"/>
          <w:color w:val="212529"/>
          <w:kern w:val="0"/>
          <w:sz w:val="32"/>
          <w:shd w:val="clear" w:color="auto" w:fill="FFFFFF"/>
          <w:lang w:val="en-US" w:eastAsia="zh-CN"/>
        </w:rPr>
        <w:t>：指事业单位附属独立核算单位按照有关规定上缴的收入。</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其他收入</w:t>
      </w:r>
      <w:r>
        <w:rPr>
          <w:rFonts w:hint="eastAsia" w:ascii="宋体" w:hAnsi="宋体"/>
          <w:color w:val="212529"/>
          <w:kern w:val="0"/>
          <w:sz w:val="32"/>
          <w:shd w:val="clear" w:color="auto" w:fill="FFFFFF"/>
          <w:lang w:val="en-US" w:eastAsia="zh-CN"/>
        </w:rPr>
        <w:t>：指除上述“财政拨款收入”、“事业收入”、“经营收入”等以外的收入。</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用事业基金弥补收支差额</w:t>
      </w:r>
      <w:r>
        <w:rPr>
          <w:rFonts w:hint="eastAsia" w:ascii="宋体" w:hAnsi="宋体"/>
          <w:color w:val="212529"/>
          <w:kern w:val="0"/>
          <w:sz w:val="32"/>
          <w:shd w:val="clear" w:color="auto" w:fill="FFFFFF"/>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年初结转和结余</w:t>
      </w:r>
      <w:r>
        <w:rPr>
          <w:rFonts w:hint="eastAsia" w:ascii="宋体" w:hAnsi="宋体"/>
          <w:color w:val="212529"/>
          <w:kern w:val="0"/>
          <w:sz w:val="32"/>
          <w:shd w:val="clear" w:color="auto" w:fill="FFFFFF"/>
          <w:lang w:val="en-US" w:eastAsia="zh-CN"/>
        </w:rPr>
        <w:t>：指以前年度尚未完成、结转到本年按有关规定继续使用的资金。</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结余分配</w:t>
      </w:r>
      <w:r>
        <w:rPr>
          <w:rFonts w:hint="eastAsia" w:ascii="宋体" w:hAnsi="宋体"/>
          <w:color w:val="212529"/>
          <w:kern w:val="0"/>
          <w:sz w:val="32"/>
          <w:shd w:val="clear" w:color="auto" w:fill="FFFFFF"/>
          <w:lang w:val="en-US" w:eastAsia="zh-CN"/>
        </w:rPr>
        <w:t>：指事业事位按规定从非财政补助结余中分配的事业基金和职工福利基金等。</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年末结转和结余</w:t>
      </w:r>
      <w:r>
        <w:rPr>
          <w:rFonts w:hint="eastAsia" w:ascii="宋体" w:hAnsi="宋体"/>
          <w:color w:val="212529"/>
          <w:kern w:val="0"/>
          <w:sz w:val="32"/>
          <w:shd w:val="clear" w:color="auto" w:fill="FFFFFF"/>
          <w:lang w:val="en-US" w:eastAsia="zh-CN"/>
        </w:rPr>
        <w:t>：指本年度或以前年度预算安排、因客观条件发生变化无法按原计划实施，需要延迟到以后年度按有关规定继续使用的资金。</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基本支出</w:t>
      </w:r>
      <w:r>
        <w:rPr>
          <w:rFonts w:hint="eastAsia" w:ascii="宋体" w:hAnsi="宋体"/>
          <w:color w:val="212529"/>
          <w:kern w:val="0"/>
          <w:sz w:val="32"/>
          <w:shd w:val="clear" w:color="auto" w:fill="FFFFFF"/>
          <w:lang w:val="en-US" w:eastAsia="zh-CN"/>
        </w:rPr>
        <w:t>：指为保障机构正常运转、完成日常工作任务而发生的人员支出和公用支出。</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项目支出</w:t>
      </w:r>
      <w:r>
        <w:rPr>
          <w:rFonts w:hint="eastAsia" w:ascii="宋体" w:hAnsi="宋体"/>
          <w:color w:val="212529"/>
          <w:kern w:val="0"/>
          <w:sz w:val="32"/>
          <w:shd w:val="clear" w:color="auto" w:fill="FFFFFF"/>
          <w:lang w:val="en-US" w:eastAsia="zh-CN"/>
        </w:rPr>
        <w:t>：指在基本支出之外为完成特定行政任务和事业发展目标所发生的支出。</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经营支出</w:t>
      </w:r>
      <w:r>
        <w:rPr>
          <w:rFonts w:hint="eastAsia" w:ascii="宋体" w:hAnsi="宋体"/>
          <w:color w:val="212529"/>
          <w:kern w:val="0"/>
          <w:sz w:val="32"/>
          <w:shd w:val="clear" w:color="auto" w:fill="FFFFFF"/>
          <w:lang w:val="en-US" w:eastAsia="zh-CN"/>
        </w:rPr>
        <w:t>：指事业单位在专业业务活动及其辅助活动之外开展非独立核算经营活动所发生的支出。</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“三公”经费</w:t>
      </w:r>
      <w:r>
        <w:rPr>
          <w:rFonts w:hint="eastAsia" w:ascii="宋体" w:hAnsi="宋体"/>
          <w:color w:val="212529"/>
          <w:kern w:val="0"/>
          <w:sz w:val="32"/>
          <w:shd w:val="clear" w:color="auto" w:fill="FFFFFF"/>
          <w:lang w:val="en-US" w:eastAsia="zh-CN"/>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hd w:val="clear" w:color="auto" w:fill="FFFFFF"/>
        <w:spacing w:beforeLines="0" w:afterLines="0" w:line="336" w:lineRule="atLeast"/>
        <w:ind w:firstLine="643"/>
        <w:jc w:val="left"/>
        <w:rPr>
          <w:rFonts w:hint="default" w:ascii="Calibri" w:hAnsi="Calibri"/>
          <w:color w:val="212529"/>
          <w:sz w:val="21"/>
        </w:rPr>
      </w:pPr>
      <w:r>
        <w:rPr>
          <w:rFonts w:hint="eastAsia" w:ascii="宋体" w:hAnsi="宋体"/>
          <w:b/>
          <w:color w:val="212529"/>
          <w:kern w:val="0"/>
          <w:sz w:val="32"/>
          <w:shd w:val="clear" w:color="auto" w:fill="FFFFFF"/>
          <w:lang w:val="en-US" w:eastAsia="zh-CN"/>
        </w:rPr>
        <w:t>机关运行经费</w:t>
      </w:r>
      <w:r>
        <w:rPr>
          <w:rFonts w:hint="eastAsia" w:ascii="宋体" w:hAnsi="宋体"/>
          <w:color w:val="212529"/>
          <w:kern w:val="0"/>
          <w:sz w:val="32"/>
          <w:shd w:val="clear" w:color="auto" w:fill="FFFFFF"/>
          <w:lang w:val="en-US" w:eastAsia="zh-CN"/>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hd w:val="clear" w:color="auto" w:fill="FFFFFF"/>
        <w:spacing w:beforeLines="0" w:afterLines="0" w:line="336" w:lineRule="atLeast"/>
        <w:ind w:firstLine="643"/>
        <w:jc w:val="left"/>
        <w:rPr>
          <w:rFonts w:hint="default" w:ascii="Calibri" w:hAnsi="Calibri"/>
          <w:color w:val="212529"/>
          <w:sz w:val="21"/>
        </w:rPr>
      </w:pPr>
    </w:p>
    <w:p>
      <w:pPr>
        <w:shd w:val="clear" w:color="auto" w:fill="FFFFFF"/>
        <w:spacing w:beforeLines="0" w:afterLines="0"/>
        <w:jc w:val="center"/>
        <w:rPr>
          <w:rFonts w:hint="default" w:ascii="Helvetica" w:hAnsi="Helvetica" w:eastAsia="Helvetica"/>
          <w:color w:val="212529"/>
          <w:sz w:val="21"/>
        </w:rPr>
      </w:pPr>
      <w:r>
        <w:rPr>
          <w:rFonts w:hint="eastAsia" w:ascii="宋体" w:hAnsi="宋体"/>
          <w:b/>
          <w:color w:val="212529"/>
          <w:kern w:val="0"/>
          <w:sz w:val="36"/>
          <w:shd w:val="clear" w:color="auto" w:fill="FFFFFF"/>
          <w:lang w:val="en-US" w:eastAsia="zh-CN"/>
        </w:rPr>
        <w:t>第五部分 附件</w:t>
      </w:r>
    </w:p>
    <w:p>
      <w:pPr>
        <w:shd w:val="clear" w:color="auto" w:fill="FFFFFF"/>
        <w:spacing w:beforeLines="0" w:afterLines="0"/>
        <w:jc w:val="center"/>
        <w:rPr>
          <w:rFonts w:hint="default" w:ascii="Helvetica" w:hAnsi="Helvetica" w:eastAsia="Helvetica"/>
          <w:color w:val="212529"/>
          <w:sz w:val="21"/>
        </w:rPr>
      </w:pPr>
      <w:r>
        <w:rPr>
          <w:rFonts w:hint="default" w:ascii="Helvetica" w:hAnsi="Helvetica" w:eastAsia="Helvetica"/>
          <w:color w:val="007BFF"/>
          <w:kern w:val="0"/>
          <w:sz w:val="28"/>
          <w:shd w:val="clear" w:color="auto" w:fill="FFFFFF"/>
          <w:lang w:val="en-US" w:eastAsia="zh-CN"/>
        </w:rPr>
        <w:fldChar w:fldCharType="begin"/>
      </w:r>
      <w:r>
        <w:rPr>
          <w:rFonts w:hint="default" w:ascii="Helvetica" w:hAnsi="Helvetica" w:eastAsia="Helvetica"/>
          <w:color w:val="007BFF"/>
          <w:kern w:val="0"/>
          <w:sz w:val="28"/>
          <w:shd w:val="clear" w:color="auto" w:fill="FFFFFF"/>
          <w:lang w:val="en-US" w:eastAsia="zh-CN"/>
        </w:rPr>
        <w:instrText xml:space="preserve"> HYPERLINK "http://yjs.jbreport.com/home/downloadAttachment?attachGUID=e1fb868df3e34483aa42ac38cc5a09a4" \t "http://yjs.jbreport.com/manager/_blank" </w:instrText>
      </w:r>
      <w:r>
        <w:rPr>
          <w:rFonts w:hint="default" w:ascii="Helvetica" w:hAnsi="Helvetica" w:eastAsia="Helvetica"/>
          <w:color w:val="007BFF"/>
          <w:kern w:val="0"/>
          <w:sz w:val="28"/>
          <w:shd w:val="clear" w:color="auto" w:fill="FFFFFF"/>
          <w:lang w:val="en-US" w:eastAsia="zh-CN"/>
        </w:rPr>
        <w:fldChar w:fldCharType="separate"/>
      </w:r>
      <w:r>
        <w:rPr>
          <w:rStyle w:val="6"/>
          <w:rFonts w:hint="default" w:ascii="Helvetica" w:hAnsi="Helvetica" w:eastAsia="Helvetica"/>
          <w:color w:val="007BFF"/>
          <w:sz w:val="28"/>
          <w:u w:val="none"/>
          <w:shd w:val="clear" w:color="auto" w:fill="FFFFFF"/>
        </w:rPr>
        <w:t>2020年资阳区农业农村局本级决算绩效自评报告.doc</w:t>
      </w:r>
      <w:r>
        <w:rPr>
          <w:rStyle w:val="6"/>
          <w:rFonts w:hint="default" w:ascii="Helvetica" w:hAnsi="Helvetica" w:eastAsia="Helvetica"/>
          <w:color w:val="007BFF"/>
          <w:sz w:val="28"/>
          <w:u w:val="none"/>
          <w:shd w:val="clear" w:color="auto" w:fill="FFFFFF"/>
        </w:rPr>
        <w:fldChar w:fldCharType="end"/>
      </w:r>
    </w:p>
    <w:p>
      <w:pPr>
        <w:shd w:val="clear" w:color="auto" w:fill="FFFFFF"/>
        <w:spacing w:beforeLines="0" w:afterLines="0"/>
        <w:jc w:val="center"/>
        <w:rPr>
          <w:rFonts w:hint="default" w:ascii="Helvetica" w:hAnsi="Helvetica" w:eastAsia="Helvetica"/>
          <w:color w:val="212529"/>
          <w:sz w:val="21"/>
        </w:rPr>
      </w:pPr>
    </w:p>
    <w:p>
      <w:pPr>
        <w:shd w:val="clear" w:color="auto" w:fill="FFFFFF"/>
        <w:spacing w:beforeLines="0" w:afterLines="0"/>
        <w:jc w:val="center"/>
        <w:rPr>
          <w:rFonts w:hint="default" w:ascii="Helvetica" w:hAnsi="Helvetica" w:eastAsia="Helvetica"/>
          <w:color w:val="212529"/>
          <w:sz w:val="21"/>
        </w:rPr>
      </w:pPr>
    </w:p>
    <w:p>
      <w:pPr>
        <w:spacing w:beforeLines="0" w:afterLines="0"/>
        <w:jc w:val="left"/>
        <w:rPr>
          <w:rFonts w:hint="default" w:ascii="Helvetica" w:hAnsi="Helvetica" w:eastAsia="Helvetica"/>
          <w:sz w:val="21"/>
        </w:rPr>
      </w:pPr>
    </w:p>
    <w:p>
      <w:pPr>
        <w:jc w:val="left"/>
        <w:rPr>
          <w:rFonts w:hint="default"/>
          <w:sz w:val="21"/>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font-size:10.5pt;text-indent:32">
    <w:altName w:val="Segoe Print"/>
    <w:panose1 w:val="00000000000000000000"/>
    <w:charset w:val="00"/>
    <w:family w:val="auto"/>
    <w:pitch w:val="default"/>
    <w:sig w:usb0="00000000" w:usb1="00000000" w:usb2="00000000" w:usb3="00000000" w:csb0="00000001" w:csb1="00000000"/>
  </w:font>
  <w:font w:name="font-size:10.5pt;margin-top:0pt">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220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rPr>
  </w:style>
  <w:style w:type="character" w:default="1" w:styleId="4">
    <w:name w:val="Default Paragraph Font"/>
    <w:unhideWhenUsed/>
    <w:uiPriority w:val="99"/>
    <w:rPr>
      <w:rFonts w:hint="default"/>
      <w:sz w:val="24"/>
    </w:rPr>
  </w:style>
  <w:style w:type="table" w:default="1" w:styleId="3">
    <w:name w:val="Normal Table"/>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Lines="0" w:beforeAutospacing="1" w:after="100" w:afterLines="0" w:afterAutospacing="1"/>
      <w:jc w:val="left"/>
    </w:pPr>
    <w:rPr>
      <w:rFonts w:hint="default"/>
      <w:kern w:val="0"/>
      <w:sz w:val="24"/>
      <w:lang w:val="en-US" w:eastAsia="zh-CN"/>
    </w:rPr>
  </w:style>
  <w:style w:type="character" w:styleId="5">
    <w:name w:val="Strong"/>
    <w:basedOn w:val="4"/>
    <w:unhideWhenUsed/>
    <w:uiPriority w:val="99"/>
    <w:rPr>
      <w:rFonts w:hint="default"/>
      <w:b/>
      <w:sz w:val="24"/>
    </w:rPr>
  </w:style>
  <w:style w:type="character" w:styleId="6">
    <w:name w:val="Hyperlink"/>
    <w:basedOn w:val="4"/>
    <w:unhideWhenUsed/>
    <w:uiPriority w:val="99"/>
    <w:rPr>
      <w:rFonts w:hint="default"/>
      <w:color w:val="0000FF"/>
      <w:sz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2022-09-06T03:45:23Z</dcterms:created>
  <dc:creator>Administrator</dc:creator>
  <cp:lastModifiedBy>Administrator</cp:lastModifiedBy>
  <dcterms:modified xsi:type="dcterms:W3CDTF">2022-09-06T03:45:38Z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