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1" w:afterAutospacing="0"/>
        <w:jc w:val="center"/>
      </w:pPr>
      <w:r>
        <w:rPr>
          <w:rFonts w:ascii="宋体" w:hAnsi="宋体" w:eastAsia="宋体" w:cs="宋体"/>
          <w:color w:val="000000"/>
          <w:sz w:val="44"/>
          <w:szCs w:val="44"/>
        </w:rPr>
        <w:t>2020年度益阳市资阳区畜牧水产事务中心（本级）部门决算</w:t>
      </w:r>
      <w:r>
        <w:rPr>
          <w:color w:val="000000"/>
        </w:rPr>
        <w:t xml:space="preserve"> </w:t>
      </w:r>
    </w:p>
    <w:p>
      <w:pPr>
        <w:spacing w:before="0" w:beforeAutospacing="0" w:after="1" w:afterAutospacing="0"/>
        <w:jc w:val="center"/>
        <w:rPr>
          <w:sz w:val="21"/>
          <w:szCs w:val="21"/>
        </w:rPr>
      </w:pPr>
      <w:r>
        <w:rPr>
          <w:color w:val="000000"/>
          <w:sz w:val="32"/>
          <w:szCs w:val="32"/>
        </w:rPr>
        <w:t> </w:t>
      </w:r>
      <w:r>
        <w:rPr>
          <w:color w:val="000000"/>
          <w:sz w:val="21"/>
          <w:szCs w:val="21"/>
        </w:rPr>
        <w:t xml:space="preserve"> </w:t>
      </w:r>
    </w:p>
    <w:p>
      <w:pPr>
        <w:spacing w:before="0" w:beforeAutospacing="0" w:after="1"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1" w:afterAutospacing="0"/>
        <w:jc w:val="center"/>
        <w:rPr>
          <w:sz w:val="21"/>
          <w:szCs w:val="21"/>
        </w:rPr>
      </w:pP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第一部分 益阳市资阳区畜牧水产事务中心（本级）概况</w:t>
      </w:r>
      <w:r>
        <w:rPr>
          <w:color w:val="000000"/>
          <w:sz w:val="27"/>
          <w:szCs w:val="27"/>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第二部分 2020年度部门决算表</w:t>
      </w:r>
      <w:r>
        <w:rPr>
          <w:color w:val="000000"/>
          <w:sz w:val="27"/>
          <w:szCs w:val="27"/>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六、一般公共预算财政拨款基本支出决算表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b/>
          <w:bCs/>
          <w:color w:val="000000"/>
          <w:sz w:val="32"/>
          <w:szCs w:val="32"/>
        </w:rPr>
        <w:t>第三部分 2020年度部门决算情况说明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九、国有资本经营预算财政拨款支出决算情况</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十一、一般性支出情况</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十四、关于2020年度预算绩效情况的说明</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1" w:afterAutospacing="0" w:line="600" w:lineRule="atLeast"/>
        <w:ind w:left="0" w:right="0"/>
        <w:jc w:val="center"/>
        <w:rPr>
          <w:sz w:val="21"/>
          <w:szCs w:val="21"/>
        </w:rPr>
      </w:pPr>
      <w:r>
        <w:rPr>
          <w:rFonts w:hint="eastAsia" w:ascii="宋体" w:hAnsi="宋体" w:eastAsia="宋体" w:cs="宋体"/>
          <w:b/>
          <w:bCs/>
          <w:color w:val="000000"/>
          <w:sz w:val="36"/>
          <w:szCs w:val="36"/>
        </w:rPr>
        <w:t>第一部分 益阳市资阳区畜牧水产事务中心（本级）概况</w:t>
      </w:r>
      <w:r>
        <w:rPr>
          <w:b/>
          <w:bCs/>
          <w:color w:val="000000"/>
          <w:sz w:val="21"/>
          <w:szCs w:val="21"/>
        </w:rPr>
        <w:t xml:space="preserve"> </w:t>
      </w:r>
    </w:p>
    <w:p>
      <w:pPr>
        <w:pStyle w:val="9"/>
        <w:keepNext w:val="0"/>
        <w:keepLines w:val="0"/>
        <w:widowControl/>
        <w:suppressLineNumbers w:val="0"/>
        <w:spacing w:before="0" w:beforeAutospacing="0" w:after="1" w:afterAutospacing="0"/>
      </w:pPr>
    </w:p>
    <w:p>
      <w:pPr>
        <w:pStyle w:val="9"/>
        <w:keepNext w:val="0"/>
        <w:keepLines w:val="0"/>
        <w:widowControl/>
        <w:suppressLineNumbers w:val="0"/>
        <w:spacing w:before="0" w:beforeAutospacing="0" w:after="1" w:afterAutospacing="0"/>
        <w:ind w:left="0" w:right="0" w:firstLine="0"/>
      </w:pPr>
      <w:r>
        <w:rPr>
          <w:rFonts w:hint="eastAsia" w:ascii="黑体" w:hAnsi="宋体" w:eastAsia="黑体" w:cs="黑体"/>
          <w:color w:val="000000"/>
          <w:sz w:val="32"/>
          <w:szCs w:val="32"/>
        </w:rPr>
        <w:t> </w:t>
      </w:r>
      <w:r>
        <w:rPr>
          <w:color w:val="000000"/>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5"/>
        <w:spacing w:before="0" w:beforeAutospacing="0" w:after="2" w:afterAutospacing="0"/>
        <w:ind w:left="0" w:firstLine="641"/>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（一）贯彻落实有关畜牧水产业的方针政策和法律法规。</w:t>
      </w:r>
    </w:p>
    <w:p>
      <w:pPr>
        <w:pStyle w:val="15"/>
        <w:spacing w:before="0" w:beforeAutospacing="0" w:after="2" w:afterAutospacing="0"/>
        <w:ind w:left="0" w:firstLine="641"/>
        <w:rPr>
          <w:rFonts w:hint="default" w:ascii="等线" w:hAnsi="等线" w:eastAsia="等线" w:cs="Times New Roman"/>
          <w:kern w:val="2"/>
          <w:sz w:val="27"/>
          <w:szCs w:val="27"/>
          <w:highlight w:val="none"/>
        </w:rPr>
      </w:pPr>
      <w:r>
        <w:rPr>
          <w:rFonts w:hint="eastAsia" w:ascii="宋体" w:hAnsi="宋体" w:eastAsia="宋体" w:cs="宋体"/>
          <w:color w:val="000000"/>
          <w:kern w:val="2"/>
          <w:sz w:val="32"/>
          <w:szCs w:val="32"/>
          <w:highlight w:val="none"/>
        </w:rPr>
        <w:t>（二）制订全区畜牧水产资源合理开发利用、畜牧水产生产发展规划和年度计划并组织实施；综合分析全区畜牧水产生产情况，协调生产中的重大问题；协调畜牧水产行业重大科研项目攻关和成果鉴定；负责重大生产项目的论证、申报并组织实施；负责科技推广项目的实施、验收与鉴定；负责定期普查畜牧水产资源，提出指导意见，做好综合统计。</w:t>
      </w:r>
    </w:p>
    <w:p>
      <w:pPr>
        <w:pStyle w:val="15"/>
        <w:spacing w:before="0" w:beforeAutospacing="0" w:after="2" w:afterAutospacing="0"/>
        <w:ind w:left="0" w:firstLine="641"/>
        <w:rPr>
          <w:rFonts w:hint="default" w:ascii="等线" w:hAnsi="等线" w:eastAsia="等线" w:cs="Times New Roman"/>
          <w:kern w:val="2"/>
          <w:sz w:val="27"/>
          <w:szCs w:val="27"/>
          <w:highlight w:val="none"/>
        </w:rPr>
      </w:pPr>
      <w:r>
        <w:rPr>
          <w:rFonts w:hint="eastAsia" w:ascii="宋体" w:hAnsi="宋体" w:eastAsia="宋体" w:cs="宋体"/>
          <w:color w:val="000000"/>
          <w:kern w:val="2"/>
          <w:sz w:val="32"/>
          <w:szCs w:val="32"/>
          <w:highlight w:val="none"/>
        </w:rPr>
        <w:t>（三）负责全区畜禽的疫病防治；组织扑灭畜禽传染病；做好动物血防工作；推广科学养殖、防治技术；对畜牧水产相关业务进行指导。</w:t>
      </w:r>
    </w:p>
    <w:p>
      <w:pPr>
        <w:pStyle w:val="15"/>
        <w:spacing w:before="0" w:beforeAutospacing="0" w:after="2" w:afterAutospacing="0"/>
        <w:ind w:left="0" w:firstLine="641"/>
        <w:rPr>
          <w:rFonts w:hint="default" w:ascii="等线" w:hAnsi="等线" w:eastAsia="等线" w:cs="Times New Roman"/>
          <w:kern w:val="2"/>
          <w:sz w:val="27"/>
          <w:szCs w:val="27"/>
          <w:highlight w:val="none"/>
        </w:rPr>
      </w:pPr>
      <w:r>
        <w:rPr>
          <w:rFonts w:hint="eastAsia" w:ascii="宋体" w:hAnsi="宋体" w:eastAsia="宋体" w:cs="宋体"/>
          <w:color w:val="000000"/>
          <w:kern w:val="2"/>
          <w:sz w:val="32"/>
          <w:szCs w:val="32"/>
          <w:highlight w:val="none"/>
        </w:rPr>
        <w:t>（四）配合抓好畜禽定点屠宰工作;负责监督定点屠宰证章和标志牌的使用情况；定期协调有关部门开展联合执法行动。</w:t>
      </w:r>
    </w:p>
    <w:p>
      <w:pPr>
        <w:pStyle w:val="15"/>
        <w:spacing w:before="0" w:beforeAutospacing="0" w:after="2" w:afterAutospacing="0"/>
        <w:ind w:left="0" w:firstLine="641"/>
        <w:rPr>
          <w:rFonts w:hint="default" w:ascii="等线" w:hAnsi="等线" w:eastAsia="等线" w:cs="Times New Roman"/>
          <w:kern w:val="2"/>
          <w:sz w:val="27"/>
          <w:szCs w:val="27"/>
          <w:highlight w:val="none"/>
        </w:rPr>
      </w:pPr>
      <w:r>
        <w:rPr>
          <w:rFonts w:hint="eastAsia" w:ascii="宋体" w:hAnsi="宋体" w:eastAsia="宋体" w:cs="宋体"/>
          <w:color w:val="000000"/>
          <w:kern w:val="2"/>
          <w:sz w:val="32"/>
          <w:szCs w:val="32"/>
          <w:highlight w:val="none"/>
        </w:rPr>
        <w:t>（五）负责全区畜禽水产品检疫、渔业水质监测、鱼病测报、饲料兽药监测等工作。</w:t>
      </w:r>
    </w:p>
    <w:p>
      <w:pPr>
        <w:pStyle w:val="14"/>
        <w:spacing w:before="0" w:beforeAutospacing="0" w:after="1" w:afterAutospacing="0"/>
        <w:ind w:left="0" w:firstLine="641"/>
        <w:rPr>
          <w:sz w:val="27"/>
          <w:szCs w:val="27"/>
        </w:rPr>
      </w:pPr>
      <w:r>
        <w:rPr>
          <w:rFonts w:hint="eastAsia" w:ascii="宋体" w:hAnsi="宋体" w:eastAsia="宋体" w:cs="宋体"/>
          <w:color w:val="000000"/>
          <w:kern w:val="2"/>
          <w:sz w:val="32"/>
          <w:szCs w:val="32"/>
          <w:highlight w:val="none"/>
        </w:rPr>
        <w:t>（六）完成区委、区人民政府交办的其他工作。</w:t>
      </w:r>
      <w:bookmarkStart w:id="0" w:name="_GoBack"/>
      <w:r>
        <w:rPr>
          <w:rFonts w:hint="default" w:ascii="等线" w:hAnsi="等线" w:eastAsia="等线" w:cs="Times New Roman"/>
          <w:color w:val="000000"/>
          <w:kern w:val="2"/>
          <w:sz w:val="32"/>
          <w:szCs w:val="32"/>
          <w:highlight w:val="none"/>
        </w:rPr>
        <w:t xml:space="preserve"> </w:t>
      </w:r>
      <w:bookmarkEnd w:id="0"/>
      <w:r>
        <w:rPr>
          <w:color w:val="000000"/>
          <w:sz w:val="32"/>
          <w:szCs w:val="32"/>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（一）内设机构设置</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    益阳市资阳区畜牧水产事务中心（本级）内设机构包括：益阳市资阳区畜牧水产事务中心本级共有编制人数36人，实有人数36人。六个内设机构,分别为：办公室（法制股）、人事教育股、计划财务股、生产科技股、饲料行业股、畜禽水产品质量安全监督股(定点屠宰股)；十四个下属机构，分别为：资阳区畜牧兽医工作站、资阳区渔政渔港监督管理站、资阳区水产工作站、资阳区动物卫生监督所、资阳区特种养殖实验场、资阳区家畜疫病防治检疫站、资阳区畜牧兽医服务中心、资阳区鱼类良种繁育场、及6个各乡镇动物防疫站（畜牧水产站、畜禽水产品质量安全监督管理站）。</w:t>
      </w:r>
      <w:r>
        <w:rPr>
          <w:color w:val="000000"/>
          <w:sz w:val="27"/>
          <w:szCs w:val="27"/>
        </w:rPr>
        <w:t xml:space="preserve"> </w:t>
      </w:r>
    </w:p>
    <w:p>
      <w:pPr>
        <w:spacing w:before="0" w:beforeAutospacing="0" w:after="1" w:afterAutospacing="0"/>
        <w:ind w:left="0" w:firstLine="627"/>
      </w:pPr>
      <w:r>
        <w:rPr>
          <w:rFonts w:hint="eastAsia" w:ascii="宋体" w:hAnsi="宋体" w:eastAsia="宋体" w:cs="宋体"/>
          <w:color w:val="000000"/>
          <w:sz w:val="32"/>
          <w:szCs w:val="32"/>
        </w:rPr>
        <w:t>（二）决算单位构成</w:t>
      </w:r>
      <w:r>
        <w:rPr>
          <w:color w:val="000000"/>
        </w:rPr>
        <w:t xml:space="preserve"> </w:t>
      </w:r>
    </w:p>
    <w:p>
      <w:pPr>
        <w:spacing w:before="0" w:beforeAutospacing="0" w:after="1" w:afterAutospacing="0"/>
        <w:ind w:left="0" w:firstLine="627"/>
      </w:pPr>
      <w:r>
        <w:rPr>
          <w:rFonts w:hint="eastAsia" w:ascii="宋体" w:hAnsi="宋体" w:eastAsia="宋体" w:cs="宋体"/>
          <w:color w:val="000000"/>
          <w:sz w:val="32"/>
          <w:szCs w:val="32"/>
        </w:rPr>
        <w:t xml:space="preserve">    </w:t>
      </w:r>
      <w:r>
        <w:rPr>
          <w:rFonts w:ascii="宋体" w:hAnsi="宋体" w:eastAsia="宋体" w:cs="宋体"/>
          <w:i w:val="0"/>
          <w:iCs w:val="0"/>
          <w:caps w:val="0"/>
          <w:color w:val="000000"/>
          <w:spacing w:val="0"/>
          <w:sz w:val="32"/>
          <w:szCs w:val="32"/>
        </w:rPr>
        <w:t>益阳市资阳区畜牧水产事务中心（本级）2020年部门决算汇总公开单位构成包括：1.益阳市资阳区畜牧水产事务中心属本级； 2.益阳市资阳区家畜疫病防治检疫站； 3.益阳市资阳区特种养殖实验场。</w:t>
      </w:r>
      <w:r>
        <w:rPr>
          <w:color w:val="000000"/>
        </w:rPr>
        <w:t xml:space="preserve"> </w:t>
      </w:r>
    </w:p>
    <w:p>
      <w:pPr>
        <w:pStyle w:val="9"/>
        <w:keepNext w:val="0"/>
        <w:keepLines w:val="0"/>
        <w:widowControl/>
        <w:suppressLineNumbers w:val="0"/>
        <w:spacing w:before="0" w:beforeAutospacing="0" w:after="1" w:afterAutospacing="0"/>
      </w:pPr>
    </w:p>
    <w:p/>
    <w:p>
      <w:pPr>
        <w:rPr>
          <w:color w:val="000000"/>
        </w:rPr>
        <w:sectPr>
          <w:pgSz w:w="11906" w:h="16838" w:orient="landscape"/>
          <w:pgMar w:top="1440" w:right="1080" w:bottom="1440" w:left="1080" w:header="851" w:footer="992" w:gutter="0"/>
          <w:cols w:space="0" w:num="1"/>
          <w:docGrid w:type="lines" w:linePitch="160" w:charSpace="0"/>
        </w:sectPr>
      </w:pPr>
    </w:p>
    <w:p>
      <w:pPr>
        <w:spacing w:before="0" w:beforeAutospacing="0" w:after="1" w:afterAutospacing="0"/>
        <w:ind w:left="0" w:firstLine="721"/>
        <w:jc w:val="center"/>
        <w:rPr>
          <w:sz w:val="21"/>
          <w:szCs w:val="21"/>
        </w:rPr>
      </w:pPr>
      <w:r>
        <w:rPr>
          <w:rFonts w:hint="eastAsia" w:ascii="宋体" w:hAnsi="宋体" w:eastAsia="宋体" w:cs="宋体"/>
          <w:b/>
          <w:bCs/>
          <w:color w:val="000000"/>
          <w:sz w:val="36"/>
          <w:szCs w:val="36"/>
        </w:rPr>
        <w:t>第二部分 2020年度部门决算表</w:t>
      </w:r>
      <w:r>
        <w:rPr>
          <w:color w:val="000000"/>
          <w:sz w:val="21"/>
          <w:szCs w:val="21"/>
        </w:rPr>
        <w:t xml:space="preserve"> </w:t>
      </w:r>
    </w:p>
    <w:p>
      <w:pPr>
        <w:pStyle w:val="9"/>
        <w:keepNext w:val="0"/>
        <w:keepLines w:val="0"/>
        <w:widowControl/>
        <w:suppressLineNumbers w:val="0"/>
        <w:spacing w:before="0" w:beforeAutospacing="0" w:after="1" w:afterAutospacing="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shd w:val="clear" w:color="auto" w:fill="auto"/>
            <w:vAlign w:val="center"/>
          </w:tcPr>
          <w:p>
            <w:pPr>
              <w:pStyle w:val="9"/>
              <w:keepNext w:val="0"/>
              <w:keepLines w:val="0"/>
              <w:widowControl/>
              <w:suppressLineNumbers w:val="0"/>
            </w:pPr>
          </w:p>
        </w:tc>
        <w:tc>
          <w:tcPr>
            <w:tcW w:w="202" w:type="pct"/>
            <w:shd w:val="clear" w:color="auto" w:fill="auto"/>
            <w:vAlign w:val="center"/>
          </w:tcPr>
          <w:p>
            <w:pPr>
              <w:pStyle w:val="9"/>
              <w:keepNext w:val="0"/>
              <w:keepLines w:val="0"/>
              <w:widowControl/>
              <w:suppressLineNumbers w:val="0"/>
            </w:pPr>
          </w:p>
        </w:tc>
        <w:tc>
          <w:tcPr>
            <w:tcW w:w="799" w:type="pct"/>
            <w:shd w:val="clear" w:color="auto" w:fill="auto"/>
            <w:vAlign w:val="center"/>
          </w:tcPr>
          <w:p>
            <w:pPr>
              <w:pStyle w:val="9"/>
              <w:keepNext w:val="0"/>
              <w:keepLines w:val="0"/>
              <w:widowControl/>
              <w:suppressLineNumbers w:val="0"/>
            </w:pPr>
          </w:p>
        </w:tc>
        <w:tc>
          <w:tcPr>
            <w:tcW w:w="1497" w:type="pct"/>
            <w:shd w:val="clear" w:color="auto" w:fill="auto"/>
            <w:vAlign w:val="center"/>
          </w:tcPr>
          <w:p>
            <w:pPr>
              <w:pStyle w:val="9"/>
              <w:keepNext w:val="0"/>
              <w:keepLines w:val="0"/>
              <w:widowControl/>
              <w:suppressLineNumbers w:val="0"/>
            </w:pP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997" w:type="pct"/>
            <w:gridSpan w:val="4"/>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50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7,909.19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6,858.58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7,909.19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7,277.29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5,203.41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5,835.30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13,112.59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13,112.59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1"/>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995" w:type="pct"/>
            <w:shd w:val="clear" w:color="auto" w:fill="auto"/>
            <w:vAlign w:val="center"/>
          </w:tcPr>
          <w:p>
            <w:pPr>
              <w:pStyle w:val="9"/>
              <w:keepNext w:val="0"/>
              <w:keepLines w:val="0"/>
              <w:widowControl/>
              <w:suppressLineNumbers w:val="0"/>
            </w:pPr>
          </w:p>
        </w:tc>
        <w:tc>
          <w:tcPr>
            <w:tcW w:w="678"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004"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3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3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3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7,909.19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7,909.19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41.62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41.62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41.62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41.62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35.04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35.04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12.88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12.88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7,494.41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7,494.41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7,494.41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7,494.41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559.94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559.94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2130106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科技转化与推广服务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85.86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85.86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2130108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病虫害控制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661.03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661.03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112.52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112.52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2130110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执法监管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5,124.51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5,124.51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2130135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农业资源保护修复与利用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586.56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586.56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2130148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成品油价格改革对渔业的补贴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211.69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211.69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2130199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其他农业农村支出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152.29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152.29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2160299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其他商业流通事务支出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1"/>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105" w:type="pct"/>
            <w:shd w:val="clear" w:color="auto" w:fill="auto"/>
            <w:vAlign w:val="center"/>
          </w:tcPr>
          <w:p>
            <w:pPr>
              <w:pStyle w:val="9"/>
              <w:keepNext w:val="0"/>
              <w:keepLines w:val="0"/>
              <w:widowControl/>
              <w:suppressLineNumbers w:val="0"/>
            </w:pPr>
          </w:p>
        </w:tc>
        <w:tc>
          <w:tcPr>
            <w:tcW w:w="753"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894"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8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8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8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7,277.29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1,082.99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6,194.30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45.55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45.55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41.38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41.38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35.04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35.04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6,858.58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924.54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5,934.04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6,858.58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924.54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5,934.04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481.02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481.02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2130106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科技转化与推广服务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53.66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53.66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病虫害控制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661.03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180.71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480.32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110.52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110.52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2130110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执法监管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5,013.99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5,013.99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2130135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农业资源保护修复与利用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308.02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308.02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2130148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成品油价格改革对渔业的补贴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230.35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152.29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78.05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2160299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其他商业流通事务支出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486" w:type="pct"/>
            <w:shd w:val="clear" w:color="auto" w:fill="auto"/>
            <w:vAlign w:val="center"/>
          </w:tcPr>
          <w:p>
            <w:pPr>
              <w:pStyle w:val="9"/>
              <w:keepNext w:val="0"/>
              <w:keepLines w:val="0"/>
              <w:widowControl/>
              <w:suppressLineNumbers w:val="0"/>
            </w:pPr>
          </w:p>
        </w:tc>
        <w:tc>
          <w:tcPr>
            <w:tcW w:w="1151"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664" w:type="pct"/>
            <w:shd w:val="clear" w:color="auto" w:fill="auto"/>
            <w:vAlign w:val="center"/>
          </w:tcPr>
          <w:p>
            <w:pPr>
              <w:pStyle w:val="9"/>
              <w:keepNext w:val="0"/>
              <w:keepLines w:val="0"/>
              <w:widowControl/>
              <w:suppressLineNumbers w:val="0"/>
            </w:pPr>
          </w:p>
        </w:tc>
        <w:tc>
          <w:tcPr>
            <w:tcW w:w="456" w:type="pct"/>
            <w:shd w:val="clear" w:color="auto" w:fill="auto"/>
            <w:vAlign w:val="center"/>
          </w:tcPr>
          <w:p>
            <w:pPr>
              <w:pStyle w:val="9"/>
              <w:keepNext w:val="0"/>
              <w:keepLines w:val="0"/>
              <w:widowControl/>
              <w:suppressLineNumbers w:val="0"/>
            </w:pP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087"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65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7,909.19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45.55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45.55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6,858.58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6,858.58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7,909.19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7,277.29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7,277.29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5,203.41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5,835.30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5,835.30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5,203.41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13,112.59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13,112.59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13,112.59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683" w:type="pct"/>
            <w:shd w:val="clear" w:color="auto" w:fill="auto"/>
            <w:vAlign w:val="center"/>
          </w:tcPr>
          <w:p>
            <w:pPr>
              <w:pStyle w:val="9"/>
              <w:keepNext w:val="0"/>
              <w:keepLines w:val="0"/>
              <w:widowControl/>
              <w:suppressLineNumbers w:val="0"/>
            </w:pPr>
          </w:p>
        </w:tc>
        <w:tc>
          <w:tcPr>
            <w:tcW w:w="964" w:type="pct"/>
            <w:shd w:val="clear" w:color="auto" w:fill="auto"/>
            <w:vAlign w:val="center"/>
          </w:tcPr>
          <w:p>
            <w:pPr>
              <w:pStyle w:val="9"/>
              <w:keepNext w:val="0"/>
              <w:keepLines w:val="0"/>
              <w:widowControl/>
              <w:suppressLineNumbers w:val="0"/>
            </w:pP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071"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107"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2"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107"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107"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7,277.29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1,082.99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6,194.30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45.55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45.55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41.38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41.38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47.92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35.04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35.04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6,858.58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924.54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5,934.04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6,858.58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924.54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5,934.04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481.02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481.02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2130106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科技转化与推广服务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53.66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2130108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病虫害控制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661.03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180.71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480.32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110.52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110.52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2130110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执法监管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5,013.99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5,013.99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2130135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农业资源保护修复与利用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308.02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2130148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成品油价格改革对渔业的补贴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230.35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152.29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78.05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2160299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其他商业流通事务支出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shd w:val="clear" w:color="auto" w:fill="auto"/>
            <w:vAlign w:val="center"/>
          </w:tcPr>
          <w:p>
            <w:pPr>
              <w:pStyle w:val="9"/>
              <w:keepNext w:val="0"/>
              <w:keepLines w:val="0"/>
              <w:widowControl/>
              <w:suppressLineNumbers w:val="0"/>
            </w:pPr>
          </w:p>
        </w:tc>
        <w:tc>
          <w:tcPr>
            <w:tcW w:w="1053"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829"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632"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81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588.81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480.00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205.11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54.95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78.51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50.78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96.18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6.51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3.67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0.37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2.35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35.04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64.98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0.49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44.31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1.59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14.18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82.71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6.87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0.13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25.60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3.75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5.19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144.00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278" w:type="pct"/>
            <w:gridSpan w:val="2"/>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602.99 </w:t>
            </w:r>
          </w:p>
        </w:tc>
        <w:tc>
          <w:tcPr>
            <w:tcW w:w="2645" w:type="pct"/>
            <w:gridSpan w:val="5"/>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2"/>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166"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500"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2"/>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78" w:type="pct"/>
            <w:shd w:val="clear" w:color="auto" w:fill="auto"/>
            <w:vAlign w:val="center"/>
          </w:tcPr>
          <w:p>
            <w:pPr>
              <w:pStyle w:val="9"/>
              <w:keepNext w:val="0"/>
              <w:keepLines w:val="0"/>
              <w:widowControl/>
              <w:suppressLineNumbers w:val="0"/>
            </w:pPr>
          </w:p>
        </w:tc>
        <w:tc>
          <w:tcPr>
            <w:tcW w:w="368" w:type="pct"/>
            <w:shd w:val="clear" w:color="auto" w:fill="auto"/>
            <w:vAlign w:val="center"/>
          </w:tcPr>
          <w:p>
            <w:pPr>
              <w:pStyle w:val="9"/>
              <w:keepNext w:val="0"/>
              <w:keepLines w:val="0"/>
              <w:widowControl/>
              <w:suppressLineNumbers w:val="0"/>
            </w:pPr>
          </w:p>
        </w:tc>
        <w:tc>
          <w:tcPr>
            <w:tcW w:w="614" w:type="pct"/>
            <w:shd w:val="clear" w:color="auto" w:fill="auto"/>
            <w:vAlign w:val="center"/>
          </w:tcPr>
          <w:p>
            <w:pPr>
              <w:pStyle w:val="9"/>
              <w:keepNext w:val="0"/>
              <w:keepLines w:val="0"/>
              <w:widowControl/>
              <w:suppressLineNumbers w:val="0"/>
            </w:pPr>
          </w:p>
        </w:tc>
        <w:tc>
          <w:tcPr>
            <w:tcW w:w="335" w:type="pct"/>
            <w:shd w:val="clear" w:color="auto" w:fill="auto"/>
            <w:vAlign w:val="center"/>
          </w:tcPr>
          <w:p>
            <w:pPr>
              <w:pStyle w:val="9"/>
              <w:keepNext w:val="0"/>
              <w:keepLines w:val="0"/>
              <w:widowControl/>
              <w:suppressLineNumbers w:val="0"/>
            </w:pPr>
          </w:p>
        </w:tc>
        <w:tc>
          <w:tcPr>
            <w:tcW w:w="473" w:type="pct"/>
            <w:shd w:val="clear" w:color="auto" w:fill="auto"/>
            <w:vAlign w:val="center"/>
          </w:tcPr>
          <w:p>
            <w:pPr>
              <w:pStyle w:val="9"/>
              <w:keepNext w:val="0"/>
              <w:keepLines w:val="0"/>
              <w:widowControl/>
              <w:suppressLineNumbers w:val="0"/>
            </w:pP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183"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390"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281"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12"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12"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12"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390"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36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1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33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13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390"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36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61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33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3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12"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0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36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61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33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3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注：本表反映部门本年度政府性基金预算财政拨款收入、支出及结转和结余情况。本单位没有政府性基金收入，也没有使用政府性基金安排的支出，故本表无数据。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972" w:type="pct"/>
            <w:shd w:val="clear" w:color="auto" w:fill="auto"/>
            <w:vAlign w:val="center"/>
          </w:tcPr>
          <w:p>
            <w:pPr>
              <w:pStyle w:val="9"/>
              <w:keepNext w:val="0"/>
              <w:keepLines w:val="0"/>
              <w:widowControl/>
              <w:suppressLineNumbers w:val="0"/>
            </w:pPr>
          </w:p>
        </w:tc>
        <w:tc>
          <w:tcPr>
            <w:tcW w:w="843" w:type="pct"/>
            <w:shd w:val="clear" w:color="auto" w:fill="auto"/>
            <w:vAlign w:val="center"/>
          </w:tcPr>
          <w:p>
            <w:pPr>
              <w:pStyle w:val="9"/>
              <w:keepNext w:val="0"/>
              <w:keepLines w:val="0"/>
              <w:widowControl/>
              <w:suppressLineNumbers w:val="0"/>
            </w:pP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313"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部门：益阳市资阳区畜牧水产事务中心本级 </w:t>
            </w: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469"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53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469"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469"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97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本年度无内容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注：本表反映部门本年度国有资本经营预算财政拨款支出情况。本单位没有国有资本经营预算财政拨款收入，也没有使用国有资本经营预算财政拨款安排的支出，故本表无数据。 </w:t>
            </w:r>
          </w:p>
        </w:tc>
      </w:tr>
    </w:tbl>
    <w:p>
      <w:pPr>
        <w:pStyle w:val="9"/>
        <w:keepNext w:val="0"/>
        <w:keepLines w:val="0"/>
        <w:widowControl/>
        <w:suppressLineNumbers w:val="0"/>
      </w:pPr>
    </w:p>
    <w:p>
      <w:pPr>
        <w:rPr>
          <w:color w:val="000000"/>
        </w:rPr>
        <w:sectPr>
          <w:pgSz w:w="16838" w:h="11906"/>
          <w:pgMar w:top="1080" w:right="400" w:bottom="1080" w:left="400" w:header="851" w:footer="992" w:gutter="0"/>
          <w:cols w:space="0" w:num="1"/>
          <w:docGrid w:type="linesAndChars" w:linePitch="160" w:charSpace="0"/>
        </w:sectPr>
      </w:pPr>
    </w:p>
    <w:p>
      <w:pPr>
        <w:spacing w:before="0" w:beforeAutospacing="0" w:after="1" w:afterAutospacing="0"/>
        <w:jc w:val="center"/>
        <w:rPr>
          <w:sz w:val="21"/>
          <w:szCs w:val="21"/>
        </w:rPr>
      </w:pPr>
      <w:r>
        <w:rPr>
          <w:rFonts w:hint="eastAsia" w:ascii="宋体" w:hAnsi="宋体" w:eastAsia="宋体" w:cs="宋体"/>
          <w:b/>
          <w:bCs/>
          <w:color w:val="000000"/>
          <w:sz w:val="36"/>
          <w:szCs w:val="36"/>
        </w:rPr>
        <w:t>第三部分 2020年度部门决算情况说明</w:t>
      </w:r>
      <w:r>
        <w:rPr>
          <w:color w:val="000000"/>
          <w:sz w:val="21"/>
          <w:szCs w:val="21"/>
        </w:rPr>
        <w:t xml:space="preserve"> </w:t>
      </w:r>
    </w:p>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2020年度收、支总计13,112.59万元。与上一年度相比，收、支总计各增加3,813.53万元，增长41.01%。主要是因为新增长江流域禁捕退捕、非洲猪</w:t>
      </w:r>
      <w:r>
        <w:rPr>
          <w:rFonts w:hint="eastAsia" w:ascii="宋体" w:hAnsi="宋体" w:eastAsia="宋体" w:cs="宋体"/>
          <w:color w:val="000000"/>
          <w:kern w:val="2"/>
          <w:sz w:val="32"/>
          <w:szCs w:val="32"/>
          <w:highlight w:val="none"/>
        </w:rPr>
        <w:t>瘟防控</w:t>
      </w:r>
      <w:r>
        <w:rPr>
          <w:rFonts w:hint="eastAsia" w:ascii="宋体" w:hAnsi="宋体" w:eastAsia="宋体" w:cs="宋体"/>
          <w:color w:val="000000"/>
          <w:sz w:val="32"/>
          <w:szCs w:val="32"/>
        </w:rPr>
        <w:t>等专项资金。</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2020年度收入合计7,909.19万元，其中：财政拨款收入7,909.19万元，占100%；上级补助收入0万元，占0%；事业收入0万元，占0%；经营收入0万元，占0%；附属单位上缴收入0万元，占0%；其他收入0万元，占0%。</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2020年度支出合计7,277.29万元，其中：基本支出1,082.99万元，占14.88%；项目支出6,194.3万元，占85.12%；上缴上级支出0万元，占0%；经营支出0万元，占0%；对附属单位补助支出0万元，占0%。</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2020年度财政拨款收、支总计13,112.59万元。与上一年度相比，财政拨款收、支总计各增加3,844.69万元，增长41.48%。主要是因为新增长江流域禁捕退捕、非洲猪</w:t>
      </w:r>
      <w:r>
        <w:rPr>
          <w:rFonts w:hint="eastAsia" w:ascii="宋体" w:hAnsi="宋体" w:eastAsia="宋体" w:cs="宋体"/>
          <w:color w:val="000000"/>
          <w:kern w:val="2"/>
          <w:sz w:val="32"/>
          <w:szCs w:val="32"/>
          <w:highlight w:val="none"/>
        </w:rPr>
        <w:t>瘟防控</w:t>
      </w:r>
      <w:r>
        <w:rPr>
          <w:rFonts w:hint="eastAsia" w:ascii="宋体" w:hAnsi="宋体" w:eastAsia="宋体" w:cs="宋体"/>
          <w:color w:val="000000"/>
          <w:sz w:val="32"/>
          <w:szCs w:val="32"/>
        </w:rPr>
        <w:t>等专项资金。</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1" w:afterAutospacing="0"/>
        <w:ind w:left="0" w:firstLine="855"/>
        <w:rPr>
          <w:sz w:val="27"/>
          <w:szCs w:val="27"/>
        </w:rPr>
      </w:pPr>
      <w:r>
        <w:rPr>
          <w:rFonts w:hint="eastAsia" w:ascii="宋体" w:hAnsi="宋体" w:eastAsia="宋体" w:cs="宋体"/>
          <w:color w:val="000000"/>
          <w:sz w:val="32"/>
          <w:szCs w:val="32"/>
        </w:rPr>
        <w:t>2020年度财政拨款支出7,277.29万元，占本年支出合计的100%。与上一年度相比，财政拨款支出增加3,291.32万元，增长82.57%。主要是因为新增长江流域禁捕退捕、非洲猪</w:t>
      </w:r>
      <w:r>
        <w:rPr>
          <w:rFonts w:hint="eastAsia" w:ascii="宋体" w:hAnsi="宋体" w:eastAsia="宋体" w:cs="宋体"/>
          <w:color w:val="000000"/>
          <w:kern w:val="2"/>
          <w:sz w:val="32"/>
          <w:szCs w:val="32"/>
          <w:highlight w:val="none"/>
        </w:rPr>
        <w:t>瘟防控</w:t>
      </w:r>
      <w:r>
        <w:rPr>
          <w:rFonts w:hint="eastAsia" w:ascii="宋体" w:hAnsi="宋体" w:eastAsia="宋体" w:cs="宋体"/>
          <w:color w:val="000000"/>
          <w:sz w:val="32"/>
          <w:szCs w:val="32"/>
        </w:rPr>
        <w:t>等专项资金。</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财政拨款支出7,277.29万元，主要用于以下方面：社会保障和就业支出45.55万元，占0.63%；卫生健康支出47.92万元，占0.66%；农林水支出6,858.58万元，占94.24%；商业服务业等支出260.27万元，占3.58%；住房保障支出64.98万元，占0.89%。</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2020年度财政拨款支出年初预算数为997.76万元，支出决算数为7,277.29万元，完成年初预算的729.36%，其中：</w:t>
      </w:r>
      <w:r>
        <w:rPr>
          <w:color w:val="000000"/>
          <w:sz w:val="27"/>
          <w:szCs w:val="27"/>
        </w:rPr>
        <w:t xml:space="preserve"> </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5"/>
        <w:spacing w:before="0" w:beforeAutospacing="0" w:after="2" w:afterAutospacing="0"/>
        <w:ind w:left="0" w:firstLine="641"/>
        <w:rPr>
          <w:rFonts w:hint="eastAsia" w:ascii="宋体" w:hAnsi="宋体" w:eastAsia="宋体" w:cs="宋体"/>
          <w:color w:val="000000"/>
          <w:kern w:val="2"/>
          <w:sz w:val="32"/>
          <w:szCs w:val="32"/>
          <w:highlight w:val="yellow"/>
          <w:lang w:eastAsia="zh-CN"/>
        </w:rPr>
      </w:pPr>
      <w:r>
        <w:rPr>
          <w:rFonts w:hint="eastAsia" w:ascii="宋体" w:hAnsi="宋体" w:eastAsia="宋体" w:cs="宋体"/>
          <w:color w:val="000000"/>
          <w:sz w:val="32"/>
          <w:szCs w:val="32"/>
        </w:rPr>
        <w:t>年初预算为69.94万元，支出决算为37.34万元，完成年初预算的53.39%。决算数小于年初预算数的主要原因是：</w:t>
      </w:r>
      <w:r>
        <w:rPr>
          <w:rFonts w:hint="eastAsia" w:ascii="宋体" w:hAnsi="宋体" w:eastAsia="宋体" w:cs="宋体"/>
          <w:color w:val="000000"/>
          <w:kern w:val="2"/>
          <w:sz w:val="32"/>
          <w:szCs w:val="32"/>
          <w:highlight w:val="none"/>
        </w:rPr>
        <w:t>农业机构改革，人员调出引起费用减少</w:t>
      </w:r>
      <w:r>
        <w:rPr>
          <w:rFonts w:hint="eastAsia" w:ascii="宋体" w:hAnsi="宋体" w:eastAsia="宋体" w:cs="宋体"/>
          <w:color w:val="000000"/>
          <w:kern w:val="2"/>
          <w:sz w:val="32"/>
          <w:szCs w:val="32"/>
          <w:highlight w:val="none"/>
          <w:lang w:eastAsia="zh-CN"/>
        </w:rPr>
        <w:t>。</w:t>
      </w:r>
    </w:p>
    <w:p>
      <w:pPr>
        <w:pStyle w:val="14"/>
        <w:spacing w:before="0" w:beforeAutospacing="0" w:after="1" w:afterAutospacing="0"/>
        <w:ind w:left="0" w:firstLine="641"/>
        <w:rPr>
          <w:sz w:val="27"/>
          <w:szCs w:val="27"/>
        </w:rPr>
      </w:pP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2、社会保障和就业支出（类）行政事业单位养老支出（款）机关事业单位职业年金缴费支出（项）</w:t>
      </w:r>
      <w:r>
        <w:rPr>
          <w:color w:val="000000"/>
          <w:sz w:val="27"/>
          <w:szCs w:val="27"/>
        </w:rPr>
        <w:t xml:space="preserve"> </w:t>
      </w:r>
    </w:p>
    <w:p>
      <w:pPr>
        <w:pStyle w:val="15"/>
        <w:spacing w:before="0" w:beforeAutospacing="0" w:after="2" w:afterAutospacing="0"/>
        <w:ind w:left="0" w:firstLine="641"/>
        <w:rPr>
          <w:rFonts w:hint="eastAsia" w:ascii="宋体" w:hAnsi="宋体" w:eastAsia="宋体" w:cs="宋体"/>
          <w:color w:val="000000"/>
          <w:kern w:val="2"/>
          <w:sz w:val="32"/>
          <w:szCs w:val="32"/>
          <w:highlight w:val="yellow"/>
          <w:lang w:eastAsia="zh-CN"/>
        </w:rPr>
      </w:pPr>
      <w:r>
        <w:rPr>
          <w:rFonts w:hint="eastAsia" w:ascii="宋体" w:hAnsi="宋体" w:eastAsia="宋体" w:cs="宋体"/>
          <w:color w:val="000000"/>
          <w:sz w:val="32"/>
          <w:szCs w:val="32"/>
        </w:rPr>
        <w:t>年初预算为9.2万元，支出决算为4.05万元，完成年初预算的44.02%。决算数小于年初预算数的主要原因是：</w:t>
      </w:r>
      <w:r>
        <w:rPr>
          <w:rFonts w:hint="eastAsia" w:ascii="宋体" w:hAnsi="宋体" w:eastAsia="宋体" w:cs="宋体"/>
          <w:color w:val="000000"/>
          <w:kern w:val="2"/>
          <w:sz w:val="32"/>
          <w:szCs w:val="32"/>
          <w:highlight w:val="none"/>
        </w:rPr>
        <w:t>农业机构改革，人员调出引起费用减少</w:t>
      </w:r>
      <w:r>
        <w:rPr>
          <w:rFonts w:hint="eastAsia" w:ascii="宋体" w:hAnsi="宋体" w:eastAsia="宋体" w:cs="宋体"/>
          <w:color w:val="000000"/>
          <w:kern w:val="2"/>
          <w:sz w:val="32"/>
          <w:szCs w:val="32"/>
          <w:highlight w:val="none"/>
          <w:lang w:eastAsia="zh-CN"/>
        </w:rPr>
        <w:t>。</w:t>
      </w:r>
    </w:p>
    <w:p>
      <w:pPr>
        <w:pStyle w:val="14"/>
        <w:spacing w:before="0" w:beforeAutospacing="0" w:after="1" w:afterAutospacing="0"/>
        <w:ind w:left="0" w:firstLine="641"/>
        <w:rPr>
          <w:sz w:val="27"/>
          <w:szCs w:val="27"/>
        </w:rPr>
      </w:pP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3、社会保障和就业支出（类）抚恤（款）死亡抚恤（项）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年初预算为0万元，支出决算为3.92万元，超出年初预算的100%。决算数大于年初预算数的主要原因是：抚恤金不在预算范围内。</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4、社会保障和就业支出（类）其他社会保障和就业支出（款）其他社会保障和就业支出（项）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年初预算为0万元，支出决算为0.24万元，超出年初预算的100%。决算数大于年初预算数的主要原因是：抚恤金不在预算范围内。</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5、卫生健康支出（类）行政事业单位医疗（款）行政单位医疗（项）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年初预算为0万元，支出决算为35.04万元，超出年初预算的100%。决算数大于年初预算数的主要原因是：科目未明细，预算列在同一个科目内，数据无误。</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6、卫生健康支出（类）行政事业单位医疗（款）事业单位医疗（项）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年初预算为42.55万元，支出决算为12.88万元，完成年初预算的30.27%。决算数小于年初预算数的主要原因是：科目未明细，预算列在同一个科目内，数据无误。</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7、农林水支出（类）农业农村（款）行政运行（项）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年初预算为647.98万元，支出决算为481.02万元，完成年初预算的74.23%。决算数小于年初预算数的主要原因是：项目增多，工作费用增大。</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8、农林水支出（类）农业农村（款）科技转化与推广服务（项）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年初预算为0万元，支出决算为53.66万元，超出年初预算的100%。决算数大于年初预算数的主要原因是：新增上级专项转移支付--农业技术推广及培训。</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9、农林水支出（类）农业农村（款）病虫害控制（项）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年初预算为33万元，支出决算为661.03万元，完成年初预算的2,003.12%。决算数大于年初预算数的主要原因是：防疫力度加大，超出部分为上级专项转移项目支出。</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10、农林水支出（类）农业农村（款）农产品质量安全（项）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年初预算为67万元，支出决算为110.52万元，完成年初预算的164.96%。决算数大于年初预算数的主要原因是：质检工作尚未完结。</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11、农林水支出（类）农业农村（款）执法监管（项）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年初预算为0万元，支出决算为5,013.99万元，超出年初预算的100%。决算数大于年初预算数的主要原因是：</w:t>
      </w:r>
      <w:r>
        <w:rPr>
          <w:rFonts w:hint="eastAsia" w:ascii="宋体" w:hAnsi="宋体" w:eastAsia="宋体" w:cs="宋体"/>
          <w:color w:val="000000"/>
          <w:kern w:val="2"/>
          <w:sz w:val="32"/>
          <w:szCs w:val="32"/>
          <w:highlight w:val="none"/>
        </w:rPr>
        <w:t>禁捕退捕工作，引起经费增加</w:t>
      </w:r>
      <w:r>
        <w:rPr>
          <w:rFonts w:hint="eastAsia" w:ascii="宋体" w:hAnsi="宋体" w:eastAsia="宋体" w:cs="宋体"/>
          <w:color w:val="000000"/>
          <w:sz w:val="32"/>
          <w:szCs w:val="32"/>
        </w:rPr>
        <w:t>。</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12、农林水支出（类）农业农村（款）农业资源保护修复与利用（项）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年初预算为6万元，支出决算为308.02万元，完成年初预算的5,133.67%。决算数大于年初预算数的主要原因是：江河污染防疫及畜禽排污防疫力度增大，专项增加。</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13、农林水支出（类）农业农村（款）成品油价格改革对渔业的补贴（项）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年初预算为0万元，支出决算为230.35万元，超出年初预算的100%。决算数大于年初预算数的主要原因是：此项经费为上级专项转移支付资金。</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14、商业服务业等支出（类）商业流通事务（款）其他商业流通事务支出（项）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年初预算为0万元，支出决算为260.27万元，超出年初预算的100%。决算数大于年初预算数的主要原因是：此项经费为上级专项转移支付资金。</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15、住房保障支出（类）住房改革支出（款）住房公积金（项）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年初预算为75.65万元，支出决算为64.98万元，完成年初预算的85.9%。决算数小于年初预算数的主要原因是：人员外调引起费用减少。</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1" w:afterAutospacing="0"/>
        <w:ind w:left="0" w:firstLine="420"/>
        <w:rPr>
          <w:sz w:val="27"/>
          <w:szCs w:val="27"/>
        </w:rPr>
      </w:pPr>
      <w:r>
        <w:rPr>
          <w:rFonts w:hint="eastAsia" w:ascii="宋体" w:hAnsi="宋体" w:eastAsia="宋体" w:cs="宋体"/>
          <w:color w:val="000000"/>
          <w:sz w:val="32"/>
          <w:szCs w:val="32"/>
        </w:rPr>
        <w:t> 2020年度财政拨款基本支出1,082.99万元，其中：人员经费602.99万元，占基本支出的55.68%，主要包括：基本工资、津贴补贴、奖金、伙食补助费、绩效工资、机关事业单位基本养老保险缴费、职业年金缴费、职工基本医疗保险缴费、公务员医疗补助缴费、其他社会保障缴费、住房公积金、其他工资福利支出、离休费、抚恤金、助学金、奖励金、其他对个人和家庭的补助。公用经费480万元，占基本支出的44.32%，主要包括：办公费、印刷费、水费、电费、邮电费、差旅费、维修（护）费、租赁费、会议费、培训费、公务接待费、专用燃料费、工会经费、福利费、其他交通费用、其他商品和服务支出。</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2020年度“三公”经费财政拨款支出预算为1.7万元，支出决算为1.7万元，完成预算的100%，其中：</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公务接待费支出预算为1.7万元，支出决算为1.7万元，完成预算的100%，决算数与预算数一致，我单位严格按预算执行决算，与上年相比增加1.7万元，增长100%，增长的主要原因是用于畜禽工作及禁捕工作增加了培训学习及会议。</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公务用车购置费及运行维护费支出预算为0万元，支出决算为0万元，决算数与预算数一致，我单位严格按预算执行决算，公务用车购置费及运行维护费支出与上年持平。</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2020年度“三公”经费财政拨款支出决算中，公务接待费支出决算1.7万元，占100%，因公出国（境）费支出决算0万元，占0%，公务用车购置费及运行维护费支出决算0万元，占0%。其中：</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1、因公出国（境）费支出决算为0万元，全年安排因公出国（境）团组0个，累计0人次，我单位2020年度无因公出国（境）费支出。</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2、公务接待费支出决算为1.7万元，全年共接待来访团组24个、来宾150人次，主要是用于畜禽工作及禁捕工作增加了培训学习及会议发生的接待支出。</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2020年12月31日，我单位开支财政拨款的公务用车保有量为0辆。我单位2020年度无公务用车购置费及运行维护费支出。</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 xml:space="preserve">益阳市资阳区畜牧水产事务中心（本级）2020年度没有政府性基金收入，也没有使用政府性基金安排的支出，并已公开空表。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九、国有资本经营预算财政拨款支出决算情况</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 xml:space="preserve">益阳市资阳区畜牧水产事务中心（本级）2020年度没有国有资本经营预算财政拨款收入，也没有使用国有资本经营预算财政拨款安排的支出，并已公开空表。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十、关于机关运行经费支出说明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益阳市资阳区畜牧水产事务中心（本级）2020年度机关运行经费支出480万元，比年初预算数增加322.75万元，增长205.25%。主要原因是：工作力度加大，引起费用增加。</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十一、一般性支出情况</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益阳市资阳区畜牧水产事务中心（本级）一般性支出1,004.82万元，其中：会议费123.27万元，用于畜禽工作及禁捕工作增加了培训学习及会议；开支培训费41.1万元，用于畜禽工作及禁捕工作增加了培训学习及会议；2020年度未使用一般公共预算财政拨款举办节庆、晚会、论坛、赛事活动。办公费60.95万元；印刷费51.78万元；咨询费0万元；水费0.37万元；电费2.35万元；邮电费0.08万元；取暖费0万元；物业管理费0万元；差旅费5.34万元；因公出国（境）费用0万元；维修（护）费0.49万元；租赁费1.59万元；公务接待费1.7万元；被装购置费0万元；劳务费0万元；委托业务费710.61万元；公务用车运行维护费0万元；其他交通费用5.19万元；房屋建筑物购建0万元；办公设备购置0万元；公务用车购置0万元；其他交通工具购置0万元。</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pPr>
        <w:pStyle w:val="14"/>
        <w:spacing w:before="0" w:beforeAutospacing="0" w:after="1" w:afterAutospacing="0"/>
        <w:ind w:left="0" w:firstLine="640"/>
        <w:jc w:val="both"/>
        <w:rPr>
          <w:sz w:val="27"/>
          <w:szCs w:val="27"/>
        </w:rPr>
      </w:pPr>
      <w:r>
        <w:rPr>
          <w:rFonts w:hint="eastAsia" w:ascii="宋体" w:hAnsi="宋体" w:eastAsia="宋体" w:cs="宋体"/>
          <w:color w:val="000000"/>
          <w:sz w:val="32"/>
          <w:szCs w:val="32"/>
        </w:rPr>
        <w:t xml:space="preserve">益阳市资阳区畜牧水产事务中心（本级）2020年度政府采购支出总额483.4万元，其中：政府采购货物支出50.63万元、政府采购工程支出80.99万元、政府采购服务支出351.78万元。授予中小企业合同金额0万元，占政府采购支出总额的0%，其中：授予小微企业合同金额0万元，占政府采购支出总额的0%。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截至2020年12月31日，益阳市资阳区畜牧水产事务中心（本级）共有车辆0辆（台），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十四、关于2020年度预算绩效情况说明</w:t>
      </w:r>
      <w:r>
        <w:rPr>
          <w:color w:val="000000"/>
          <w:sz w:val="27"/>
          <w:szCs w:val="27"/>
        </w:rPr>
        <w:t xml:space="preserve"> </w:t>
      </w:r>
    </w:p>
    <w:p>
      <w:pPr>
        <w:pStyle w:val="14"/>
        <w:spacing w:before="0" w:beforeAutospacing="0" w:after="1" w:afterAutospacing="0"/>
        <w:ind w:left="0" w:firstLine="640"/>
        <w:rPr>
          <w:sz w:val="27"/>
          <w:szCs w:val="27"/>
        </w:rPr>
      </w:pPr>
      <w:r>
        <w:rPr>
          <w:rFonts w:ascii="宋体" w:hAnsi="宋体" w:eastAsia="宋体" w:cs="宋体"/>
          <w:color w:val="000000"/>
          <w:sz w:val="32"/>
          <w:szCs w:val="32"/>
        </w:rPr>
        <w:t>根据文件要求，我中心结合有关法律、法规和规章制度、预算管理制度、资金及财务管理制度、部门职能职责、年度工作计划、部门预算申报材料、申请和分配财政资金的相关文件、财政部门预算批复、项目年度报告等对我中心的整体支出进行了绩效自评。2020年我中心预算收入1493.79万元，其中财政拨款预算870.41万元，纳入公共预算管理的非税收入拨款334.74万元。我中心认真执行了年初部门预算和财政政策要求。工作经费安排严格按照年初预算来执行，有效防止了超预算；认真学习财经法规，严格执行财经纪律，防止了违法违纪行为的发生。2020年，资阳区认真贯彻落实习近平新时代中国特色社会主义思想，紧紧围绕新时期省委省政府关于畜牧水产业高质量发展的工作目标，积极作为，狠抓落实，较好地完成了上级主管部门部署的各项任务，为推动全区现代畜牧业高质量发展和促进农民增收发挥了积极作用。</w:t>
      </w:r>
      <w:r>
        <w:rPr>
          <w:color w:val="000000"/>
          <w:sz w:val="27"/>
          <w:szCs w:val="27"/>
        </w:rPr>
        <w:t xml:space="preserve"> </w:t>
      </w:r>
    </w:p>
    <w:p>
      <w:pPr>
        <w:pStyle w:val="9"/>
        <w:keepNext w:val="0"/>
        <w:keepLines w:val="0"/>
        <w:widowControl/>
        <w:suppressLineNumbers w:val="0"/>
        <w:spacing w:before="0" w:beforeAutospacing="0" w:after="1" w:afterAutospacing="0"/>
      </w:pPr>
    </w:p>
    <w:p/>
    <w:p>
      <w:pPr>
        <w:spacing w:before="0" w:beforeAutospacing="0" w:after="1"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1"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p>
    <w:p>
      <w:pPr>
        <w:spacing w:before="0" w:beforeAutospacing="0" w:after="1"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1" w:afterAutospacing="0"/>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"http://yjs.jbreport.com/home/downloadAttachment?attachGUID=0f900f3a859a4a53ac8289e37d522076"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益阳市资阳区畜牧水产事务中心部门（本级）2020整体支出绩效自评报告.docx</w:t>
      </w:r>
      <w:r>
        <w:rPr>
          <w:rFonts w:ascii="宋体" w:hAnsi="宋体" w:eastAsia="宋体" w:cs="宋体"/>
          <w:sz w:val="28"/>
          <w:szCs w:val="28"/>
          <w:shd w:val="clear" w:fill="FFFFFF"/>
        </w:rPr>
        <w:fldChar w:fldCharType="end"/>
      </w:r>
    </w:p>
    <w:p>
      <w:pPr>
        <w:spacing w:before="0" w:beforeAutospacing="0" w:after="1" w:afterAutospacing="0"/>
        <w:jc w:val="center"/>
        <w:rPr>
          <w:sz w:val="21"/>
          <w:szCs w:val="21"/>
        </w:rPr>
      </w:pPr>
    </w:p>
    <w:p>
      <w:pPr>
        <w:spacing w:before="0" w:beforeAutospacing="0" w:after="1" w:afterAutospacing="0"/>
        <w:jc w:val="center"/>
        <w:rPr>
          <w:sz w:val="21"/>
          <w:szCs w:val="21"/>
        </w:rPr>
      </w:pPr>
    </w:p>
    <w:p>
      <w:pPr>
        <w:spacing w:before="0" w:beforeAutospacing="0" w:after="1"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OGFkMzM4NzA0OGNiZjgxOTNlYzM1NTlkZjlhZmMifQ=="/>
  </w:docVars>
  <w:rsids>
    <w:rsidRoot w:val="00000000"/>
    <w:rsid w:val="35F355AC"/>
    <w:rsid w:val="3E4168CC"/>
    <w:rsid w:val="446B53B9"/>
    <w:rsid w:val="5FE52914"/>
    <w:rsid w:val="60BE3E38"/>
    <w:rsid w:val="6602480A"/>
    <w:rsid w:val="72461647"/>
    <w:rsid w:val="75584B0F"/>
    <w:rsid w:val="785C56F3"/>
    <w:rsid w:val="78CB27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customStyle="1" w:styleId="15">
    <w:name w:val="181"/>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10586</Words>
  <Characters>14168</Characters>
  <TotalTime>0</TotalTime>
  <ScaleCrop>false</ScaleCrop>
  <LinksUpToDate>false</LinksUpToDate>
  <CharactersWithSpaces>15612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2022-08-27T10:37:00Z</dcterms:created>
  <dc:creator>Administrator</dc:creator>
  <cp:lastModifiedBy>Administrator</cp:lastModifiedBy>
  <dcterms:modified xsi:type="dcterms:W3CDTF">2022-08-29T10:43:51Z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220671C4ADEE4683914A11413A30B1B4</vt:lpwstr>
  </property>
</Properties>
</file>