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
        <w:jc w:val="center"/>
      </w:pPr>
      <w:r>
        <w:rPr>
          <w:rFonts w:hint="eastAsia" w:ascii="宋体" w:hAnsi="宋体" w:eastAsia="宋体"/>
          <w:color w:val="000000"/>
          <w:sz w:val="44"/>
          <w:szCs w:val="44"/>
        </w:rPr>
        <w:t>2020年度益阳市资阳区城市管理和综合执法局部门决算</w:t>
      </w:r>
      <w:r>
        <w:rPr>
          <w:rFonts w:hint="eastAsia"/>
          <w:color w:val="000000"/>
        </w:rPr>
        <w:t xml:space="preserve"> </w:t>
      </w:r>
    </w:p>
    <w:p>
      <w:pPr>
        <w:spacing w:after="1"/>
        <w:jc w:val="center"/>
      </w:pPr>
      <w:r>
        <w:rPr>
          <w:rFonts w:hint="eastAsia"/>
          <w:color w:val="000000"/>
          <w:sz w:val="32"/>
          <w:szCs w:val="32"/>
        </w:rPr>
        <w:t xml:space="preserve"> </w:t>
      </w:r>
      <w:r>
        <w:rPr>
          <w:rFonts w:hint="eastAsia"/>
          <w:color w:val="000000"/>
        </w:rPr>
        <w:t xml:space="preserve"> </w:t>
      </w:r>
    </w:p>
    <w:p>
      <w:pPr>
        <w:spacing w:after="1"/>
        <w:jc w:val="center"/>
        <w:rPr>
          <w:rFonts w:ascii="宋体" w:hAnsi="宋体" w:eastAsia="宋体"/>
        </w:rPr>
      </w:pPr>
      <w:r>
        <w:rPr>
          <w:rFonts w:hint="eastAsia" w:ascii="宋体" w:hAnsi="宋体" w:eastAsia="宋体"/>
          <w:color w:val="000000"/>
          <w:sz w:val="32"/>
          <w:szCs w:val="32"/>
        </w:rPr>
        <w:t>目 录</w:t>
      </w:r>
      <w:r>
        <w:rPr>
          <w:rFonts w:hint="eastAsia" w:ascii="宋体" w:hAnsi="宋体" w:eastAsia="宋体"/>
          <w:color w:val="000000"/>
        </w:rPr>
        <w:t xml:space="preserve"> </w:t>
      </w:r>
    </w:p>
    <w:p>
      <w:pPr>
        <w:spacing w:after="1"/>
        <w:jc w:val="center"/>
      </w:pPr>
      <w:r>
        <w:rPr>
          <w:rFonts w:hint="eastAsia"/>
        </w:rPr>
        <w:t xml:space="preserve"> </w:t>
      </w:r>
    </w:p>
    <w:p>
      <w:pPr>
        <w:pStyle w:val="24"/>
        <w:spacing w:after="1"/>
        <w:ind w:firstLine="641"/>
        <w:rPr>
          <w:sz w:val="27"/>
          <w:szCs w:val="27"/>
        </w:rPr>
      </w:pPr>
      <w:r>
        <w:rPr>
          <w:rFonts w:hint="eastAsia" w:ascii="宋体" w:hAnsi="宋体" w:eastAsia="宋体"/>
          <w:b/>
          <w:bCs/>
          <w:color w:val="000000"/>
          <w:sz w:val="32"/>
          <w:szCs w:val="32"/>
        </w:rPr>
        <w:t>第一部分 益阳市资阳区城市管理和综合执法局概况</w:t>
      </w:r>
      <w:r>
        <w:rPr>
          <w:rFonts w:hint="eastAsia"/>
          <w:color w:val="000000"/>
          <w:sz w:val="27"/>
          <w:szCs w:val="27"/>
        </w:rPr>
        <w:t xml:space="preserve"> </w:t>
      </w:r>
    </w:p>
    <w:p>
      <w:pPr>
        <w:pStyle w:val="24"/>
        <w:spacing w:after="1"/>
        <w:ind w:firstLine="700"/>
      </w:pPr>
      <w:r>
        <w:rPr>
          <w:rFonts w:hint="eastAsia" w:ascii="宋体" w:hAnsi="宋体" w:eastAsia="宋体"/>
          <w:color w:val="000000"/>
          <w:sz w:val="28"/>
          <w:szCs w:val="28"/>
        </w:rPr>
        <w:t>一、部门职责</w:t>
      </w:r>
      <w:r>
        <w:rPr>
          <w:rFonts w:hint="eastAsia"/>
          <w:color w:val="000000"/>
        </w:rPr>
        <w:t xml:space="preserve"> </w:t>
      </w:r>
    </w:p>
    <w:p>
      <w:pPr>
        <w:pStyle w:val="24"/>
        <w:spacing w:after="1"/>
        <w:ind w:firstLine="700"/>
      </w:pPr>
      <w:r>
        <w:rPr>
          <w:rFonts w:hint="eastAsia" w:ascii="宋体" w:hAnsi="宋体" w:eastAsia="宋体"/>
          <w:color w:val="000000"/>
          <w:sz w:val="28"/>
          <w:szCs w:val="28"/>
        </w:rPr>
        <w:t>二、机构设置</w:t>
      </w:r>
      <w:r>
        <w:rPr>
          <w:rFonts w:hint="eastAsia"/>
          <w:color w:val="000000"/>
        </w:rPr>
        <w:t xml:space="preserve"> </w:t>
      </w:r>
    </w:p>
    <w:p>
      <w:pPr>
        <w:pStyle w:val="24"/>
        <w:spacing w:after="1"/>
        <w:ind w:firstLine="641"/>
        <w:rPr>
          <w:sz w:val="27"/>
          <w:szCs w:val="27"/>
        </w:rPr>
      </w:pPr>
      <w:r>
        <w:rPr>
          <w:rFonts w:hint="eastAsia" w:ascii="宋体" w:hAnsi="宋体" w:eastAsia="宋体"/>
          <w:b/>
          <w:bCs/>
          <w:color w:val="000000"/>
          <w:sz w:val="32"/>
          <w:szCs w:val="32"/>
        </w:rPr>
        <w:t>第二部分 2020年度部门决算表</w:t>
      </w:r>
      <w:r>
        <w:rPr>
          <w:rFonts w:hint="eastAsia"/>
          <w:color w:val="000000"/>
          <w:sz w:val="27"/>
          <w:szCs w:val="27"/>
        </w:rPr>
        <w:t xml:space="preserve"> </w:t>
      </w:r>
    </w:p>
    <w:p>
      <w:pPr>
        <w:pStyle w:val="24"/>
        <w:spacing w:after="1"/>
        <w:ind w:firstLine="700"/>
      </w:pPr>
      <w:r>
        <w:rPr>
          <w:rFonts w:hint="eastAsia" w:ascii="宋体" w:hAnsi="宋体" w:eastAsia="宋体"/>
          <w:color w:val="000000"/>
          <w:sz w:val="28"/>
          <w:szCs w:val="28"/>
        </w:rPr>
        <w:t>一、收入支出决算总表</w:t>
      </w:r>
      <w:r>
        <w:rPr>
          <w:rFonts w:hint="eastAsia"/>
          <w:color w:val="000000"/>
        </w:rPr>
        <w:t xml:space="preserve"> </w:t>
      </w:r>
    </w:p>
    <w:p>
      <w:pPr>
        <w:pStyle w:val="24"/>
        <w:spacing w:after="1"/>
        <w:ind w:firstLine="700"/>
      </w:pPr>
      <w:r>
        <w:rPr>
          <w:rFonts w:hint="eastAsia" w:ascii="宋体" w:hAnsi="宋体" w:eastAsia="宋体"/>
          <w:color w:val="000000"/>
          <w:sz w:val="28"/>
          <w:szCs w:val="28"/>
        </w:rPr>
        <w:t>二、收入决算表</w:t>
      </w:r>
      <w:r>
        <w:rPr>
          <w:rFonts w:hint="eastAsia"/>
          <w:color w:val="000000"/>
        </w:rPr>
        <w:t xml:space="preserve"> </w:t>
      </w:r>
    </w:p>
    <w:p>
      <w:pPr>
        <w:pStyle w:val="24"/>
        <w:spacing w:after="1"/>
        <w:ind w:firstLine="700"/>
      </w:pPr>
      <w:r>
        <w:rPr>
          <w:rFonts w:hint="eastAsia" w:ascii="宋体" w:hAnsi="宋体" w:eastAsia="宋体"/>
          <w:color w:val="000000"/>
          <w:sz w:val="28"/>
          <w:szCs w:val="28"/>
        </w:rPr>
        <w:t>三、支出决算表</w:t>
      </w:r>
      <w:r>
        <w:rPr>
          <w:rFonts w:hint="eastAsia"/>
          <w:color w:val="000000"/>
        </w:rPr>
        <w:t xml:space="preserve"> </w:t>
      </w:r>
    </w:p>
    <w:p>
      <w:pPr>
        <w:pStyle w:val="24"/>
        <w:spacing w:after="1"/>
        <w:ind w:firstLine="700"/>
      </w:pPr>
      <w:r>
        <w:rPr>
          <w:rFonts w:hint="eastAsia" w:ascii="宋体" w:hAnsi="宋体" w:eastAsia="宋体"/>
          <w:color w:val="000000"/>
          <w:sz w:val="28"/>
          <w:szCs w:val="28"/>
        </w:rPr>
        <w:t>四、财政拨款收入支出决算总表</w:t>
      </w:r>
      <w:r>
        <w:rPr>
          <w:rFonts w:hint="eastAsia"/>
          <w:color w:val="000000"/>
        </w:rPr>
        <w:t xml:space="preserve"> </w:t>
      </w:r>
    </w:p>
    <w:p>
      <w:pPr>
        <w:pStyle w:val="24"/>
        <w:spacing w:after="1"/>
        <w:ind w:firstLine="700"/>
      </w:pPr>
      <w:r>
        <w:rPr>
          <w:rFonts w:hint="eastAsia" w:ascii="宋体" w:hAnsi="宋体" w:eastAsia="宋体"/>
          <w:color w:val="000000"/>
          <w:sz w:val="28"/>
          <w:szCs w:val="28"/>
        </w:rPr>
        <w:t>五、一般公共预算财政拨款支出决算表</w:t>
      </w:r>
      <w:r>
        <w:rPr>
          <w:rFonts w:hint="eastAsia"/>
          <w:color w:val="000000"/>
        </w:rPr>
        <w:t xml:space="preserve"> </w:t>
      </w:r>
    </w:p>
    <w:p>
      <w:pPr>
        <w:pStyle w:val="24"/>
        <w:spacing w:after="1"/>
        <w:ind w:firstLine="700"/>
      </w:pPr>
      <w:r>
        <w:rPr>
          <w:rFonts w:hint="eastAsia" w:ascii="宋体" w:hAnsi="宋体" w:eastAsia="宋体"/>
          <w:color w:val="000000"/>
          <w:sz w:val="28"/>
          <w:szCs w:val="28"/>
        </w:rPr>
        <w:t>六、一般公共预算财政拨款基本支出决算表</w:t>
      </w:r>
      <w:r>
        <w:rPr>
          <w:rFonts w:hint="eastAsia"/>
          <w:color w:val="000000"/>
        </w:rPr>
        <w:t xml:space="preserve"> </w:t>
      </w:r>
    </w:p>
    <w:p>
      <w:pPr>
        <w:pStyle w:val="24"/>
        <w:spacing w:after="1"/>
        <w:ind w:firstLine="700"/>
      </w:pPr>
      <w:r>
        <w:rPr>
          <w:rFonts w:hint="eastAsia" w:ascii="宋体" w:hAnsi="宋体" w:eastAsia="宋体"/>
          <w:color w:val="000000"/>
          <w:sz w:val="28"/>
          <w:szCs w:val="28"/>
        </w:rPr>
        <w:t>七、一般公共预算财政拨款“三公”经费支出决算表</w:t>
      </w:r>
      <w:r>
        <w:rPr>
          <w:rFonts w:hint="eastAsia"/>
          <w:color w:val="000000"/>
        </w:rPr>
        <w:t xml:space="preserve"> </w:t>
      </w:r>
    </w:p>
    <w:p>
      <w:pPr>
        <w:pStyle w:val="24"/>
        <w:spacing w:after="1"/>
        <w:ind w:firstLine="700"/>
      </w:pPr>
      <w:r>
        <w:rPr>
          <w:rFonts w:hint="eastAsia" w:ascii="宋体" w:hAnsi="宋体" w:eastAsia="宋体"/>
          <w:color w:val="000000"/>
          <w:sz w:val="28"/>
          <w:szCs w:val="28"/>
        </w:rPr>
        <w:t>八、政府性基金预算财政拨款收入支出决算表</w:t>
      </w:r>
      <w:r>
        <w:rPr>
          <w:rFonts w:hint="eastAsia"/>
          <w:color w:val="000000"/>
        </w:rPr>
        <w:t xml:space="preserve"> </w:t>
      </w:r>
    </w:p>
    <w:p>
      <w:pPr>
        <w:pStyle w:val="24"/>
        <w:spacing w:after="1"/>
        <w:ind w:firstLine="700"/>
      </w:pPr>
      <w:r>
        <w:rPr>
          <w:rFonts w:hint="eastAsia" w:ascii="宋体" w:hAnsi="宋体" w:eastAsia="宋体"/>
          <w:color w:val="000000"/>
          <w:sz w:val="28"/>
          <w:szCs w:val="28"/>
        </w:rPr>
        <w:t>九、国有资本经营预算财政拨款支出决算表</w:t>
      </w:r>
      <w:r>
        <w:rPr>
          <w:rFonts w:hint="eastAsia"/>
          <w:color w:val="000000"/>
        </w:rPr>
        <w:t xml:space="preserve"> </w:t>
      </w:r>
    </w:p>
    <w:p>
      <w:pPr>
        <w:pStyle w:val="24"/>
        <w:spacing w:after="1"/>
        <w:ind w:firstLine="700"/>
      </w:pPr>
      <w:r>
        <w:rPr>
          <w:rFonts w:hint="eastAsia" w:ascii="宋体" w:hAnsi="宋体" w:eastAsia="宋体"/>
          <w:b/>
          <w:bCs/>
          <w:color w:val="000000"/>
          <w:sz w:val="32"/>
          <w:szCs w:val="32"/>
        </w:rPr>
        <w:t>第三部分 2020年度部门决算情况说明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一、收入支出决算总体情况说明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二、收入决算情况说明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三、支出决算情况说明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四、财政拨款收入支出决算总体情况说明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五、一般公共预算财政拨款支出决算情况说明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六、一般公共预算财政拨款基本支出决算情况说明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七、一般公共预算财政拨款三公经费支出决算情况说明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八、政府性基金预算收入支出决算情况</w:t>
      </w:r>
      <w:r>
        <w:rPr>
          <w:rFonts w:hint="eastAsia"/>
          <w:color w:val="000000"/>
        </w:rPr>
        <w:t xml:space="preserve"> </w:t>
      </w:r>
    </w:p>
    <w:p>
      <w:pPr>
        <w:pStyle w:val="24"/>
        <w:spacing w:after="1"/>
        <w:ind w:firstLine="700"/>
      </w:pPr>
      <w:r>
        <w:rPr>
          <w:rFonts w:hint="eastAsia" w:ascii="宋体" w:hAnsi="宋体" w:eastAsia="宋体"/>
          <w:color w:val="000000"/>
          <w:sz w:val="28"/>
          <w:szCs w:val="28"/>
        </w:rPr>
        <w:t>九、国有资本经营预算财政拨款支出决算情况</w:t>
      </w:r>
      <w:r>
        <w:rPr>
          <w:rFonts w:hint="eastAsia"/>
          <w:color w:val="000000"/>
        </w:rPr>
        <w:t xml:space="preserve"> </w:t>
      </w:r>
    </w:p>
    <w:p>
      <w:pPr>
        <w:pStyle w:val="24"/>
        <w:spacing w:after="1"/>
        <w:ind w:firstLine="700"/>
      </w:pPr>
      <w:r>
        <w:rPr>
          <w:rFonts w:hint="eastAsia" w:ascii="宋体" w:hAnsi="宋体" w:eastAsia="宋体"/>
          <w:color w:val="000000"/>
          <w:sz w:val="28"/>
          <w:szCs w:val="28"/>
        </w:rPr>
        <w:t>十、关于机关运行经费支出说明</w:t>
      </w:r>
      <w:r>
        <w:rPr>
          <w:rFonts w:hint="eastAsia"/>
          <w:color w:val="000000"/>
        </w:rPr>
        <w:t xml:space="preserve"> </w:t>
      </w:r>
    </w:p>
    <w:p>
      <w:pPr>
        <w:pStyle w:val="24"/>
        <w:spacing w:after="1"/>
        <w:ind w:firstLine="700"/>
      </w:pPr>
      <w:r>
        <w:rPr>
          <w:rFonts w:hint="eastAsia" w:ascii="宋体" w:hAnsi="宋体" w:eastAsia="宋体"/>
          <w:color w:val="000000"/>
          <w:sz w:val="28"/>
          <w:szCs w:val="28"/>
        </w:rPr>
        <w:t>十一、一般性支出情况</w:t>
      </w:r>
      <w:r>
        <w:rPr>
          <w:rFonts w:hint="eastAsia"/>
          <w:color w:val="000000"/>
        </w:rPr>
        <w:t xml:space="preserve"> </w:t>
      </w:r>
    </w:p>
    <w:p>
      <w:pPr>
        <w:pStyle w:val="24"/>
        <w:spacing w:after="1"/>
        <w:ind w:firstLine="700"/>
      </w:pPr>
      <w:r>
        <w:rPr>
          <w:rFonts w:hint="eastAsia" w:ascii="宋体" w:hAnsi="宋体" w:eastAsia="宋体"/>
          <w:color w:val="000000"/>
          <w:sz w:val="28"/>
          <w:szCs w:val="28"/>
        </w:rPr>
        <w:t>十二、关于政府采购支出说明</w:t>
      </w:r>
      <w:r>
        <w:rPr>
          <w:rFonts w:hint="eastAsia"/>
          <w:color w:val="000000"/>
        </w:rPr>
        <w:t xml:space="preserve"> </w:t>
      </w:r>
    </w:p>
    <w:p>
      <w:pPr>
        <w:pStyle w:val="24"/>
        <w:spacing w:after="1"/>
        <w:ind w:firstLine="700"/>
      </w:pPr>
      <w:r>
        <w:rPr>
          <w:rFonts w:hint="eastAsia" w:ascii="宋体" w:hAnsi="宋体" w:eastAsia="宋体"/>
          <w:color w:val="000000"/>
          <w:sz w:val="28"/>
          <w:szCs w:val="28"/>
        </w:rPr>
        <w:t>十三、关于国有资产占用情况说明</w:t>
      </w:r>
      <w:r>
        <w:rPr>
          <w:rFonts w:hint="eastAsia"/>
          <w:color w:val="000000"/>
        </w:rPr>
        <w:t xml:space="preserve"> </w:t>
      </w:r>
    </w:p>
    <w:p>
      <w:pPr>
        <w:pStyle w:val="24"/>
        <w:spacing w:after="1"/>
        <w:ind w:firstLine="700"/>
      </w:pPr>
      <w:r>
        <w:rPr>
          <w:rFonts w:hint="eastAsia" w:ascii="宋体" w:hAnsi="宋体" w:eastAsia="宋体"/>
          <w:color w:val="000000"/>
          <w:sz w:val="28"/>
          <w:szCs w:val="28"/>
        </w:rPr>
        <w:t>十四、关于2020年度预算绩效情况的说明</w:t>
      </w:r>
    </w:p>
    <w:p>
      <w:pPr>
        <w:pStyle w:val="24"/>
        <w:spacing w:after="1"/>
        <w:ind w:firstLine="641"/>
        <w:rPr>
          <w:sz w:val="27"/>
          <w:szCs w:val="27"/>
        </w:rPr>
      </w:pPr>
      <w:r>
        <w:rPr>
          <w:rFonts w:hint="eastAsia" w:ascii="宋体" w:hAnsi="宋体" w:eastAsia="宋体"/>
          <w:b/>
          <w:bCs/>
          <w:color w:val="000000"/>
          <w:sz w:val="32"/>
          <w:szCs w:val="32"/>
        </w:rPr>
        <w:t>第四部分 名词解释</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第五部分 附件</w:t>
      </w:r>
      <w:r>
        <w:rPr>
          <w:rFonts w:hint="eastAsia"/>
          <w:color w:val="000000"/>
          <w:sz w:val="27"/>
          <w:szCs w:val="27"/>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r>
        <w:rPr>
          <w:rFonts w:hint="eastAsia"/>
        </w:rPr>
        <w:t xml:space="preserve"> </w:t>
      </w:r>
    </w:p>
    <w:p>
      <w:pPr>
        <w:spacing w:after="1" w:line="600" w:lineRule="atLeast"/>
        <w:jc w:val="center"/>
      </w:pPr>
      <w:r>
        <w:rPr>
          <w:rFonts w:hint="eastAsia" w:ascii="宋体" w:hAnsi="宋体" w:eastAsia="宋体"/>
          <w:b/>
          <w:bCs/>
          <w:color w:val="000000"/>
          <w:sz w:val="36"/>
          <w:szCs w:val="36"/>
        </w:rPr>
        <w:t>第一部分 益阳市资阳区城市管理和综合执法局概况</w:t>
      </w:r>
      <w:r>
        <w:rPr>
          <w:rFonts w:hint="eastAsia"/>
          <w:b/>
          <w:bCs/>
          <w:color w:val="000000"/>
        </w:rPr>
        <w:t xml:space="preserve"> </w:t>
      </w:r>
    </w:p>
    <w:p>
      <w:pPr>
        <w:pStyle w:val="25"/>
        <w:spacing w:before="0" w:beforeAutospacing="0" w:after="1" w:afterAutospacing="0"/>
      </w:pPr>
      <w:r>
        <w:rPr>
          <w:rFonts w:hint="eastAsia"/>
        </w:rPr>
        <w:t xml:space="preserve"> </w:t>
      </w:r>
    </w:p>
    <w:p>
      <w:pPr>
        <w:pStyle w:val="25"/>
        <w:spacing w:before="0" w:beforeAutospacing="0" w:after="1" w:afterAutospacing="0"/>
      </w:pPr>
      <w:r>
        <w:rPr>
          <w:rFonts w:hint="eastAsia"/>
          <w:color w:val="000000"/>
          <w:sz w:val="32"/>
          <w:szCs w:val="32"/>
        </w:rPr>
        <w:t xml:space="preserve"> </w:t>
      </w:r>
      <w:r>
        <w:rPr>
          <w:rFonts w:hint="eastAsia"/>
          <w:color w:val="000000"/>
        </w:rPr>
        <w:t xml:space="preserve"> </w:t>
      </w:r>
    </w:p>
    <w:p>
      <w:pPr>
        <w:pStyle w:val="24"/>
        <w:spacing w:after="1"/>
        <w:ind w:firstLine="641"/>
        <w:rPr>
          <w:sz w:val="27"/>
          <w:szCs w:val="27"/>
        </w:rPr>
      </w:pPr>
      <w:r>
        <w:rPr>
          <w:rFonts w:hint="eastAsia" w:ascii="宋体" w:hAnsi="宋体" w:eastAsia="宋体"/>
          <w:b/>
          <w:bCs/>
          <w:color w:val="000000"/>
          <w:sz w:val="32"/>
          <w:szCs w:val="32"/>
        </w:rPr>
        <w:t>一、部门职责</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（一）贯彻执行城市管理和综合执法工作的方针政策和法律法规，深化城市管理综合行政执法体制改革，加强城市管理行政执法体系建设。</w:t>
      </w:r>
      <w:r>
        <w:rPr>
          <w:rFonts w:hint="eastAsia"/>
          <w:color w:val="000000"/>
          <w:sz w:val="32"/>
          <w:szCs w:val="32"/>
        </w:rPr>
        <w:t xml:space="preserve"> </w:t>
      </w:r>
    </w:p>
    <w:p>
      <w:pPr>
        <w:pStyle w:val="24"/>
        <w:spacing w:after="1"/>
        <w:ind w:firstLine="641"/>
        <w:rPr>
          <w:sz w:val="27"/>
          <w:szCs w:val="27"/>
        </w:rPr>
      </w:pPr>
      <w:r>
        <w:rPr>
          <w:rFonts w:hint="eastAsia" w:ascii="宋体" w:hAnsi="宋体" w:eastAsia="宋体"/>
          <w:color w:val="000000"/>
          <w:sz w:val="32"/>
          <w:szCs w:val="32"/>
        </w:rPr>
        <w:t>（二）负责指导、协调、监督和考核全区城市管理和综合执法工作。</w:t>
      </w:r>
      <w:r>
        <w:rPr>
          <w:rFonts w:hint="eastAsia"/>
          <w:color w:val="000000"/>
          <w:sz w:val="32"/>
          <w:szCs w:val="32"/>
        </w:rPr>
        <w:t xml:space="preserve"> </w:t>
      </w:r>
    </w:p>
    <w:p>
      <w:pPr>
        <w:pStyle w:val="24"/>
        <w:spacing w:after="1"/>
        <w:ind w:firstLine="641"/>
        <w:rPr>
          <w:sz w:val="27"/>
          <w:szCs w:val="27"/>
        </w:rPr>
      </w:pPr>
      <w:r>
        <w:rPr>
          <w:rFonts w:hint="eastAsia" w:ascii="宋体" w:hAnsi="宋体" w:eastAsia="宋体"/>
          <w:color w:val="000000"/>
          <w:sz w:val="32"/>
          <w:szCs w:val="32"/>
        </w:rPr>
        <w:t>（三）负责权限内市政公用设施监管维护、城市园林绿化设施建设维护管理。</w:t>
      </w:r>
      <w:r>
        <w:rPr>
          <w:rFonts w:hint="eastAsia"/>
          <w:color w:val="000000"/>
          <w:sz w:val="32"/>
          <w:szCs w:val="32"/>
        </w:rPr>
        <w:t xml:space="preserve"> </w:t>
      </w:r>
    </w:p>
    <w:p>
      <w:pPr>
        <w:pStyle w:val="24"/>
        <w:spacing w:after="1"/>
        <w:ind w:firstLine="641"/>
        <w:rPr>
          <w:sz w:val="27"/>
          <w:szCs w:val="27"/>
        </w:rPr>
      </w:pPr>
      <w:r>
        <w:rPr>
          <w:rFonts w:hint="eastAsia" w:ascii="宋体" w:hAnsi="宋体" w:eastAsia="宋体"/>
          <w:color w:val="000000"/>
          <w:sz w:val="32"/>
          <w:szCs w:val="32"/>
        </w:rPr>
        <w:t>（四）负责权限内门店招牌、侵占城市道路、城市公共空间秩序的管理。</w:t>
      </w:r>
      <w:r>
        <w:rPr>
          <w:rFonts w:hint="eastAsia"/>
          <w:color w:val="000000"/>
          <w:sz w:val="32"/>
          <w:szCs w:val="32"/>
        </w:rPr>
        <w:t xml:space="preserve"> </w:t>
      </w:r>
    </w:p>
    <w:p>
      <w:pPr>
        <w:pStyle w:val="24"/>
        <w:spacing w:after="1"/>
        <w:ind w:firstLine="641"/>
        <w:rPr>
          <w:sz w:val="27"/>
          <w:szCs w:val="27"/>
        </w:rPr>
      </w:pPr>
      <w:r>
        <w:rPr>
          <w:rFonts w:hint="eastAsia" w:ascii="宋体" w:hAnsi="宋体" w:eastAsia="宋体"/>
          <w:color w:val="000000"/>
          <w:sz w:val="32"/>
          <w:szCs w:val="32"/>
        </w:rPr>
        <w:t>（五）负责城市环境卫生管理。承担城区环境卫生清扫保洁、城市环境卫生基础设施建设维护管理和生活垃圾、餐厨垃圾、建筑垃圾的处置。推进垃圾分类工作。</w:t>
      </w:r>
      <w:r>
        <w:rPr>
          <w:rFonts w:hint="eastAsia"/>
          <w:color w:val="000000"/>
          <w:sz w:val="32"/>
          <w:szCs w:val="32"/>
        </w:rPr>
        <w:t xml:space="preserve"> </w:t>
      </w:r>
    </w:p>
    <w:p>
      <w:pPr>
        <w:pStyle w:val="24"/>
        <w:spacing w:after="1"/>
        <w:ind w:firstLine="641"/>
        <w:rPr>
          <w:sz w:val="27"/>
          <w:szCs w:val="27"/>
        </w:rPr>
      </w:pPr>
      <w:r>
        <w:rPr>
          <w:rFonts w:hint="eastAsia" w:ascii="宋体" w:hAnsi="宋体" w:eastAsia="宋体"/>
          <w:color w:val="000000"/>
          <w:sz w:val="32"/>
          <w:szCs w:val="32"/>
        </w:rPr>
        <w:t>（六）负责资阳中心城区村（居）民违法建设行为的查处。负责区级管辖规划控制区、乡镇规划控制区范围内的查违控违拆违工作，具体包括项目建设和村（居）民违法建设行为的查处。参与联合巡查管理，参与全区查违控违拆违综合管理、监督、检查和考核工作。</w:t>
      </w:r>
      <w:r>
        <w:rPr>
          <w:rFonts w:hint="eastAsia"/>
          <w:color w:val="000000"/>
          <w:sz w:val="32"/>
          <w:szCs w:val="32"/>
        </w:rPr>
        <w:t xml:space="preserve"> </w:t>
      </w:r>
    </w:p>
    <w:p>
      <w:pPr>
        <w:pStyle w:val="24"/>
        <w:spacing w:after="1"/>
        <w:ind w:firstLine="641"/>
        <w:rPr>
          <w:sz w:val="27"/>
          <w:szCs w:val="27"/>
        </w:rPr>
      </w:pPr>
      <w:r>
        <w:rPr>
          <w:rFonts w:hint="eastAsia" w:ascii="宋体" w:hAnsi="宋体" w:eastAsia="宋体"/>
          <w:color w:val="000000"/>
          <w:sz w:val="32"/>
          <w:szCs w:val="32"/>
        </w:rPr>
        <w:t>（七）负责全区禁限区域燃放烟花爆竹污染的监督管理和考核。负责焚烧垃圾、秸秆、落叶、城市焚烧沥青、塑料垃圾等产生烟尘污染和经营性餐饮业油烟污染的监督管理；负责社会生活噪声污染、建筑施工噪声污染、建筑施工扬尘污染、渣土扬尘污染管理。</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（八）负责权限内交通管理方面的城市公共停车场、城市道路停车泊位收费管理。</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（九）负责权限内应急管理方面设置在城市公园与广场的应急避难场所管理，城区路面与广场排渍排涝、城市道路与桥梁、园林绿化照明等应急保障处理。</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（十）负责资阳区中心城区黑臭水体整治后维护管理的业务指导、监督和考核。</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（十一）负责权限内路灯电费的管理。</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（十二）负责区级管辖范围内“门前三包”责任制的监督和考核工作。</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（十三）负责区级智慧城市管理平台的建设、管理和维护工作。</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（十四）负责协助乡镇开展镇区秩序整治、空间治理、供水供气监管。负责农村生活垃圾转运。</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（十五）负责权限内渣土管理。</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六）负责在区级管辖范围内行使下列行政处罚权和相关行政强制权：1、违反建设法律法规规定的行政处罚；2、生态环境管理方面的社会生活噪声污染、建筑施工噪声污染、建筑施工扬尘污染、餐饮服务业油烟污染、露天烧烤污染、城市焚烧沥青塑料垃圾等烟尘和恶臭污染、露天焚烧秸秆落叶等烟尘污染等行政处罚权；3、市场监督管理方面的户外公共场所无照经营、违规设置户外广告、食品销售和流动摊点无证经营以及违法回收贩卖药品等行政处罚;4、公安交通管理方面的侵占城市道路、违法停放车辆等行政处罚；5、水利管理方面的向城市河道和水域倾倒废弃物、垃圾以及违规取土、城市河道和水域违法建筑物拆除等行政处罚。</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（十七）承担区城市管理委员会的日常工作。</w:t>
      </w:r>
      <w:r>
        <w:rPr>
          <w:rFonts w:hint="eastAsia"/>
          <w:color w:val="000000"/>
          <w:sz w:val="32"/>
          <w:szCs w:val="32"/>
        </w:rPr>
        <w:t xml:space="preserve"> </w:t>
      </w:r>
    </w:p>
    <w:p>
      <w:pPr>
        <w:spacing w:after="1"/>
        <w:ind w:firstLine="641"/>
        <w:rPr>
          <w:sz w:val="27"/>
          <w:szCs w:val="27"/>
        </w:rPr>
      </w:pPr>
      <w:r>
        <w:rPr>
          <w:rFonts w:hint="eastAsia" w:ascii="宋体" w:hAnsi="宋体" w:eastAsia="宋体"/>
          <w:color w:val="000000"/>
          <w:sz w:val="32"/>
          <w:szCs w:val="32"/>
        </w:rPr>
        <w:t>（十八）完成区委、区政府、区城市管理委员会交办的其他任务。</w:t>
      </w:r>
      <w:r>
        <w:rPr>
          <w:rFonts w:hint="eastAsia"/>
          <w:color w:val="000000"/>
          <w:sz w:val="32"/>
          <w:szCs w:val="32"/>
        </w:rPr>
        <w:t xml:space="preserve"> </w:t>
      </w:r>
    </w:p>
    <w:p>
      <w:pPr>
        <w:pStyle w:val="24"/>
        <w:spacing w:after="1"/>
        <w:ind w:firstLine="641"/>
        <w:rPr>
          <w:sz w:val="27"/>
          <w:szCs w:val="27"/>
        </w:rPr>
      </w:pPr>
      <w:r>
        <w:rPr>
          <w:rFonts w:hint="eastAsia" w:ascii="宋体" w:hAnsi="宋体" w:eastAsia="宋体"/>
          <w:b/>
          <w:bCs/>
          <w:color w:val="000000"/>
          <w:sz w:val="32"/>
          <w:szCs w:val="32"/>
        </w:rPr>
        <w:t>二、机构设置及决算单位构成</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（一）</w:t>
      </w:r>
      <w:r>
        <w:rPr>
          <w:rFonts w:hint="eastAsia" w:ascii="宋体" w:hAnsi="宋体" w:eastAsia="宋体"/>
          <w:color w:val="000000"/>
          <w:sz w:val="32"/>
          <w:szCs w:val="32"/>
        </w:rPr>
        <w:t>内设机构设置</w:t>
      </w:r>
    </w:p>
    <w:p>
      <w:pPr>
        <w:pStyle w:val="24"/>
        <w:spacing w:after="1"/>
        <w:ind w:firstLine="641"/>
        <w:rPr>
          <w:rFonts w:ascii="宋体" w:hAnsi="宋体" w:eastAsia="宋体"/>
          <w:color w:val="000000"/>
          <w:sz w:val="32"/>
          <w:szCs w:val="32"/>
        </w:rPr>
      </w:pPr>
      <w:r>
        <w:rPr>
          <w:rFonts w:hint="eastAsia" w:ascii="宋体" w:hAnsi="宋体" w:eastAsia="宋体"/>
          <w:color w:val="000000"/>
          <w:sz w:val="32"/>
          <w:szCs w:val="32"/>
        </w:rPr>
        <w:t>益阳市资阳区城市管理和综合执法局内设机构包括：益阳市资阳区城市管理和综合执法局设5个股室，分别是办公室、法制股（督察股）、人事财务股、市容股（绿化股）、城市管理股，下设非独立核算二级机构城管直属大队、城市管理指挥中心。 （一）内设机构 （1）办公室。协助领导组织、管理、协调机关日常工作；负责机关文电、会务、综合调研、机要、档案、政务公开、安全保密、后勤接待、综合治理和应急管理等工作；综合协调人大代表建议、政协委员提案办理工作；负责城市管理信息宣传和新闻发布等工作。 （2）法制股（督察股）。负责城市管理综合行政执法工作规范性文件的合法性审查；负责行政复议、听证、行政应诉和国家赔偿；负责行政执法监督，承办重大事项和行政处罚案件的法制审查；负责执法文书、执法案卷管理和执法统计工作；负责相关业务培训和业务指导；参与中心城区城市规划、建设、管理有关规划编制。负责牵头协调城市管理重大及跨区域综合执法行动；负责监督落实行政执法“三项制度”，负责城市管理执法队伍队容风纪督导纠察；负责城市管理案件处置督办。 （3）人事财务股。负责机关和直属单位的组织人事、机构编制、绩效考核等工作；会同有关部门管理职业技能岗位资格考试相关工作；负责离退休人员管理服务、关心下一代、工青妇团等工作。负责机关并指导直属单位财务、国有资产管理和内部审计工作；负责行政事业性收费的监督管理。 （4）市容股（绿化股）。负责权限内城市公共停车场、城市道路停车泊位收费管理，市政公用设施的运行管理和日常维护维修，负责园林绿化设施建设管理维护、路灯电费的管理等工作。 （5）城市管理股。负责区城市管理委员会办公室具体工作；负责全区城市管理综合协调与考核工作。指导、监督、考核中心城区烟花爆竹禁放工作。 (二)人员编制情况 1、益阳市资阳区城市管理和综合执法局核定行政编制5名。领导职数：局长1名，副局长3名。 2、益阳市资阳区城市管理和综合执法局直属大队核定事业编制36名，设大队长1名，副大队长3名。3、资阳区城市管理指挥中心核实事业编制4名，设主任1名。 （三）在编在职人员情况 1、益阳市资阳区城市管理和综合执法局机关实有在编在职人员5人，其中，局长1人，副局长3人。 2、益阳市资阳区城市管理和综合执法局直属大队实有在编在职人员34人。 3、资阳区城市管理指挥中心实有在编在职人员5人。</w:t>
      </w:r>
    </w:p>
    <w:p>
      <w:pPr>
        <w:spacing w:after="1"/>
        <w:ind w:firstLine="627"/>
      </w:pPr>
      <w:r>
        <w:rPr>
          <w:rFonts w:hint="eastAsia" w:ascii="宋体" w:hAnsi="宋体" w:eastAsia="宋体"/>
          <w:b/>
          <w:bCs/>
          <w:color w:val="000000"/>
          <w:sz w:val="32"/>
          <w:szCs w:val="32"/>
        </w:rPr>
        <w:t>（二）</w:t>
      </w:r>
      <w:r>
        <w:rPr>
          <w:rFonts w:hint="eastAsia" w:ascii="宋体" w:hAnsi="宋体" w:eastAsia="宋体"/>
          <w:color w:val="000000"/>
          <w:sz w:val="32"/>
          <w:szCs w:val="32"/>
        </w:rPr>
        <w:t>决算单位构成</w:t>
      </w:r>
      <w:r>
        <w:rPr>
          <w:rFonts w:hint="eastAsia"/>
          <w:color w:val="000000"/>
        </w:rPr>
        <w:t xml:space="preserve"> </w:t>
      </w:r>
    </w:p>
    <w:p>
      <w:pPr>
        <w:spacing w:after="1"/>
        <w:ind w:firstLine="627"/>
      </w:pPr>
      <w:r>
        <w:rPr>
          <w:rFonts w:hint="eastAsia" w:ascii="宋体" w:hAnsi="宋体" w:eastAsia="宋体"/>
          <w:color w:val="000000"/>
          <w:sz w:val="32"/>
          <w:szCs w:val="32"/>
        </w:rPr>
        <w:t>益阳市资阳区城市管理和综合执法局2020年部门决算汇总公开单位构成包括：益阳市资阳区城市管理和综合执法局本级。</w:t>
      </w:r>
      <w:r>
        <w:rPr>
          <w:rFonts w:hint="eastAsia"/>
          <w:color w:val="000000"/>
        </w:rPr>
        <w:t xml:space="preserve"> </w:t>
      </w:r>
    </w:p>
    <w:p>
      <w:pPr>
        <w:pStyle w:val="25"/>
        <w:spacing w:before="0" w:beforeAutospacing="0" w:after="1" w:afterAutospacing="0"/>
      </w:pPr>
      <w:r>
        <w:rPr>
          <w:rFonts w:hint="eastAsia"/>
        </w:rPr>
        <w:t xml:space="preserve"> </w:t>
      </w:r>
    </w:p>
    <w:p>
      <w:r>
        <w:rPr>
          <w:rFonts w:hint="eastAsia"/>
        </w:rPr>
        <w:t xml:space="preserve"> </w:t>
      </w:r>
    </w:p>
    <w:p>
      <w:pPr>
        <w:widowControl/>
        <w:jc w:val="left"/>
        <w:rPr>
          <w:rFonts w:ascii="宋体" w:hAnsi="宋体" w:eastAsia="宋体" w:cs="宋体"/>
          <w:b/>
          <w:bCs/>
          <w:color w:val="000000"/>
          <w:sz w:val="36"/>
          <w:szCs w:val="36"/>
        </w:rPr>
        <w:sectPr>
          <w:pgSz w:w="11906" w:h="16838" w:orient="landscape"/>
          <w:pgMar w:top="1440" w:right="1080" w:bottom="1440" w:left="1080" w:header="851" w:footer="992" w:gutter="0"/>
          <w:cols w:space="425" w:num="1"/>
          <w:docGrid w:type="lines" w:linePitch="160" w:charSpace="0"/>
        </w:sectPr>
      </w:pPr>
    </w:p>
    <w:p>
      <w:pPr>
        <w:spacing w:after="1"/>
        <w:ind w:firstLine="721"/>
        <w:jc w:val="center"/>
      </w:pPr>
      <w:r>
        <w:rPr>
          <w:rFonts w:hint="eastAsia" w:ascii="宋体" w:hAnsi="宋体" w:eastAsia="宋体"/>
          <w:b/>
          <w:bCs/>
          <w:color w:val="000000"/>
          <w:sz w:val="36"/>
          <w:szCs w:val="36"/>
        </w:rPr>
        <w:t>第二部分 2020年度部门决算表</w:t>
      </w:r>
      <w:r>
        <w:rPr>
          <w:rFonts w:hint="eastAsia"/>
          <w:color w:val="000000"/>
        </w:rPr>
        <w:t xml:space="preserve"> </w:t>
      </w: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4802"/>
        <w:gridCol w:w="648"/>
        <w:gridCol w:w="2569"/>
        <w:gridCol w:w="4802"/>
        <w:gridCol w:w="648"/>
        <w:gridCol w:w="2569"/>
      </w:tblGrid>
      <w:tr>
        <w:tblPrEx>
          <w:tblCellMar>
            <w:top w:w="0" w:type="dxa"/>
            <w:left w:w="0" w:type="dxa"/>
            <w:bottom w:w="0" w:type="dxa"/>
            <w:right w:w="0" w:type="dxa"/>
          </w:tblCellMar>
        </w:tblPrEx>
        <w:trPr>
          <w:jc w:val="center"/>
        </w:trPr>
        <w:tc>
          <w:tcPr>
            <w:tcW w:w="5000" w:type="pct"/>
            <w:gridSpan w:val="6"/>
            <w:vAlign w:val="center"/>
          </w:tcPr>
          <w:p>
            <w:pPr>
              <w:pStyle w:val="25"/>
              <w:jc w:val="center"/>
              <w:rPr>
                <w:rFonts w:cs="Times New Roman"/>
              </w:rPr>
            </w:pPr>
            <w:r>
              <w:rPr>
                <w:rFonts w:hint="eastAsia" w:cs="Times New Roman"/>
                <w:sz w:val="40"/>
                <w:szCs w:val="40"/>
              </w:rPr>
              <w:t xml:space="preserve">收入支出决算总表 </w:t>
            </w:r>
          </w:p>
        </w:tc>
      </w:tr>
      <w:tr>
        <w:tblPrEx>
          <w:tblCellMar>
            <w:top w:w="0" w:type="dxa"/>
            <w:left w:w="0" w:type="dxa"/>
            <w:bottom w:w="0" w:type="dxa"/>
            <w:right w:w="0" w:type="dxa"/>
          </w:tblCellMar>
        </w:tblPrEx>
        <w:trPr>
          <w:jc w:val="center"/>
        </w:trPr>
        <w:tc>
          <w:tcPr>
            <w:tcW w:w="1497" w:type="pct"/>
            <w:vAlign w:val="center"/>
          </w:tcPr>
          <w:p>
            <w:pPr>
              <w:pStyle w:val="25"/>
              <w:rPr>
                <w:rFonts w:cs="Times New Roman"/>
              </w:rPr>
            </w:pPr>
          </w:p>
        </w:tc>
        <w:tc>
          <w:tcPr>
            <w:tcW w:w="202" w:type="pct"/>
            <w:vAlign w:val="center"/>
          </w:tcPr>
          <w:p>
            <w:pPr>
              <w:pStyle w:val="25"/>
              <w:rPr>
                <w:rFonts w:cs="Times New Roman"/>
              </w:rPr>
            </w:pPr>
          </w:p>
        </w:tc>
        <w:tc>
          <w:tcPr>
            <w:tcW w:w="799" w:type="pct"/>
            <w:vAlign w:val="center"/>
          </w:tcPr>
          <w:p>
            <w:pPr>
              <w:pStyle w:val="25"/>
              <w:rPr>
                <w:rFonts w:cs="Times New Roman"/>
              </w:rPr>
            </w:pPr>
          </w:p>
        </w:tc>
        <w:tc>
          <w:tcPr>
            <w:tcW w:w="1497" w:type="pct"/>
            <w:vAlign w:val="center"/>
          </w:tcPr>
          <w:p>
            <w:pPr>
              <w:pStyle w:val="25"/>
              <w:rPr>
                <w:rFonts w:cs="Times New Roman"/>
              </w:rPr>
            </w:pPr>
          </w:p>
        </w:tc>
        <w:tc>
          <w:tcPr>
            <w:tcW w:w="1002" w:type="pct"/>
            <w:gridSpan w:val="2"/>
            <w:vAlign w:val="center"/>
          </w:tcPr>
          <w:p>
            <w:pPr>
              <w:pStyle w:val="25"/>
              <w:jc w:val="right"/>
              <w:rPr>
                <w:rFonts w:cs="Times New Roman"/>
              </w:rPr>
            </w:pPr>
            <w:r>
              <w:rPr>
                <w:rFonts w:hint="eastAsia" w:cs="Times New Roman"/>
                <w:sz w:val="20"/>
                <w:szCs w:val="20"/>
              </w:rPr>
              <w:t xml:space="preserve">公开01表 </w:t>
            </w:r>
          </w:p>
        </w:tc>
      </w:tr>
      <w:tr>
        <w:tblPrEx>
          <w:tblCellMar>
            <w:top w:w="0" w:type="dxa"/>
            <w:left w:w="0" w:type="dxa"/>
            <w:bottom w:w="0" w:type="dxa"/>
            <w:right w:w="0" w:type="dxa"/>
          </w:tblCellMar>
        </w:tblPrEx>
        <w:trPr>
          <w:jc w:val="center"/>
        </w:trPr>
        <w:tc>
          <w:tcPr>
            <w:tcW w:w="3997" w:type="pct"/>
            <w:gridSpan w:val="4"/>
            <w:vAlign w:val="center"/>
          </w:tcPr>
          <w:p>
            <w:pPr>
              <w:pStyle w:val="25"/>
              <w:rPr>
                <w:rFonts w:cs="Times New Roman"/>
              </w:rPr>
            </w:pPr>
            <w:r>
              <w:rPr>
                <w:rFonts w:hint="eastAsia" w:cs="Times New Roman"/>
                <w:sz w:val="22"/>
                <w:szCs w:val="22"/>
              </w:rPr>
              <w:t xml:space="preserve">部门：益阳市资阳区城市管理和综合执法局 </w:t>
            </w:r>
          </w:p>
        </w:tc>
        <w:tc>
          <w:tcPr>
            <w:tcW w:w="1002" w:type="pct"/>
            <w:gridSpan w:val="2"/>
            <w:tcBorders>
              <w:top w:val="nil"/>
              <w:left w:val="nil"/>
              <w:bottom w:val="single" w:color="666666" w:sz="4" w:space="0"/>
              <w:right w:val="nil"/>
            </w:tcBorders>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500" w:type="pct"/>
            <w:gridSpan w:val="3"/>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收入 </w:t>
            </w:r>
          </w:p>
        </w:tc>
        <w:tc>
          <w:tcPr>
            <w:tcW w:w="2500" w:type="pct"/>
            <w:gridSpan w:val="3"/>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支出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行次 </w:t>
            </w:r>
          </w:p>
        </w:tc>
        <w:tc>
          <w:tcPr>
            <w:tcW w:w="799"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金额 </w:t>
            </w:r>
          </w:p>
        </w:tc>
        <w:tc>
          <w:tcPr>
            <w:tcW w:w="1497"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行次 </w:t>
            </w:r>
          </w:p>
        </w:tc>
        <w:tc>
          <w:tcPr>
            <w:tcW w:w="799"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金额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p>
        </w:tc>
        <w:tc>
          <w:tcPr>
            <w:tcW w:w="799"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1497"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p>
        </w:tc>
        <w:tc>
          <w:tcPr>
            <w:tcW w:w="799"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一、一般公共预算财政拨款收入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1,004.98 </w:t>
            </w: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一、一般公共服务支出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32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二、政府性基金预算财政拨款收入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二、外交支出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33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三、国有资本经营预算财政拨款收入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三、国防支出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34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四、上级补助收入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四、公共安全支出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35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五、事业收入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五、教育支出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36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六、经营收入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六、科学技术支出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37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七、附属单位上缴收入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7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七、文化旅游体育与传媒支出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38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八、其他收入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8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192.42 </w:t>
            </w: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八、社会保障和就业支出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39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9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九、卫生健康支出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40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10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十、节能环保支出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41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11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十一、城乡社区支出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42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686.90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12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十二、农林水支出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43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13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十三、交通运输支出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44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14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十四、资源勘探工业信息等支出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45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15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十五、商业服务业等支出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46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16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十六、金融支出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47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17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十七、援助其他地区支出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48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18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十八、自然资源海洋气象等支出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49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19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十九、住房保障支出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50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20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二十、粮油物资储备支出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51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21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二十一、国有资本经营预算支出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52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22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二十二、灾害防治及应急管理支出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53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23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二十三、其他支出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54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323.88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0"/>
                <w:szCs w:val="20"/>
              </w:rPr>
              <w:t xml:space="preserve">24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二十四、债务还本支出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55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0"/>
                <w:szCs w:val="20"/>
              </w:rPr>
              <w:t xml:space="preserve">25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二十五、债务付息支出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56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0"/>
                <w:szCs w:val="20"/>
              </w:rPr>
              <w:t xml:space="preserve">26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二十六、抗疫特别国债安排的支出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57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本年收入合计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27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1,208.90 </w:t>
            </w:r>
          </w:p>
        </w:tc>
        <w:tc>
          <w:tcPr>
            <w:tcW w:w="1497"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本年支出合计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58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1,036.46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使用非财政拨款结余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28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结余分配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59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年初结转和结余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29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387.43 </w:t>
            </w: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年末结转和结余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60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559.87 </w:t>
            </w: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30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497"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61 </w:t>
            </w:r>
          </w:p>
        </w:tc>
        <w:tc>
          <w:tcPr>
            <w:tcW w:w="799" w:type="pct"/>
            <w:tcBorders>
              <w:top w:val="single" w:color="666666" w:sz="4" w:space="0"/>
              <w:left w:val="nil"/>
              <w:bottom w:val="single" w:color="666666" w:sz="4" w:space="0"/>
              <w:right w:val="single" w:color="666666" w:sz="4" w:space="0"/>
            </w:tcBorders>
            <w:vAlign w:val="center"/>
          </w:tcPr>
          <w:p>
            <w:pPr>
              <w:pStyle w:val="25"/>
              <w:rPr>
                <w:rFonts w:cs="Times New Roman"/>
              </w:rPr>
            </w:pPr>
          </w:p>
        </w:tc>
      </w:tr>
      <w:tr>
        <w:tblPrEx>
          <w:tblCellMar>
            <w:top w:w="0" w:type="dxa"/>
            <w:left w:w="0" w:type="dxa"/>
            <w:bottom w:w="0" w:type="dxa"/>
            <w:right w:w="0" w:type="dxa"/>
          </w:tblCellMar>
        </w:tblPrEx>
        <w:trPr>
          <w:jc w:val="center"/>
        </w:trPr>
        <w:tc>
          <w:tcPr>
            <w:tcW w:w="1497"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总计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31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1,596.33 </w:t>
            </w:r>
          </w:p>
        </w:tc>
        <w:tc>
          <w:tcPr>
            <w:tcW w:w="1497"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总计 </w:t>
            </w:r>
          </w:p>
        </w:tc>
        <w:tc>
          <w:tcPr>
            <w:tcW w:w="20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62 </w:t>
            </w:r>
          </w:p>
        </w:tc>
        <w:tc>
          <w:tcPr>
            <w:tcW w:w="799"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1,596.33 </w:t>
            </w:r>
          </w:p>
        </w:tc>
      </w:tr>
      <w:tr>
        <w:tblPrEx>
          <w:tblCellMar>
            <w:top w:w="0" w:type="dxa"/>
            <w:left w:w="0" w:type="dxa"/>
            <w:bottom w:w="0" w:type="dxa"/>
            <w:right w:w="0" w:type="dxa"/>
          </w:tblCellMar>
        </w:tblPrEx>
        <w:trPr>
          <w:jc w:val="center"/>
        </w:trPr>
        <w:tc>
          <w:tcPr>
            <w:tcW w:w="5000" w:type="pct"/>
            <w:gridSpan w:val="6"/>
            <w:vAlign w:val="center"/>
          </w:tcPr>
          <w:p>
            <w:pPr>
              <w:pStyle w:val="25"/>
              <w:rPr>
                <w:rFonts w:cs="Times New Roman"/>
              </w:rPr>
            </w:pPr>
            <w:r>
              <w:rPr>
                <w:rFonts w:hint="eastAsia" w:cs="Times New Roman"/>
                <w:sz w:val="22"/>
                <w:szCs w:val="22"/>
              </w:rPr>
              <w:t xml:space="preserve">注：本表反映部门本年度的总收支和年末结转结余情况。本表金额转换为万元时，因四舍五入可能存在尾数误差。 </w:t>
            </w:r>
          </w:p>
        </w:tc>
      </w:tr>
    </w:tbl>
    <w:p>
      <w:pPr>
        <w:pStyle w:val="25"/>
      </w:pPr>
      <w:r>
        <w:rPr>
          <w:rFonts w:hint="eastAsia"/>
        </w:rPr>
        <w:t xml:space="preserve"> </w:t>
      </w:r>
    </w:p>
    <w:p>
      <w:pPr>
        <w:pStyle w:val="25"/>
      </w:pPr>
    </w:p>
    <w:p>
      <w:pPr>
        <w:pStyle w:val="25"/>
      </w:pPr>
    </w:p>
    <w:p>
      <w:pPr>
        <w:pStyle w:val="25"/>
      </w:pPr>
    </w:p>
    <w:p>
      <w:pPr>
        <w:pStyle w:val="25"/>
      </w:pPr>
    </w:p>
    <w:p>
      <w:pPr>
        <w:pStyle w:val="25"/>
      </w:pPr>
    </w:p>
    <w:p>
      <w:pPr>
        <w:pStyle w:val="25"/>
      </w:pPr>
    </w:p>
    <w:p>
      <w:pPr>
        <w:pStyle w:val="25"/>
      </w:pPr>
    </w:p>
    <w:p>
      <w:pPr>
        <w:pStyle w:val="25"/>
      </w:pP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358"/>
        <w:gridCol w:w="359"/>
        <w:gridCol w:w="369"/>
        <w:gridCol w:w="3192"/>
        <w:gridCol w:w="2175"/>
        <w:gridCol w:w="1591"/>
        <w:gridCol w:w="1591"/>
        <w:gridCol w:w="1591"/>
        <w:gridCol w:w="1617"/>
        <w:gridCol w:w="1591"/>
        <w:gridCol w:w="1604"/>
      </w:tblGrid>
      <w:tr>
        <w:tblPrEx>
          <w:tblCellMar>
            <w:top w:w="0" w:type="dxa"/>
            <w:left w:w="0" w:type="dxa"/>
            <w:bottom w:w="0" w:type="dxa"/>
            <w:right w:w="0" w:type="dxa"/>
          </w:tblCellMar>
        </w:tblPrEx>
        <w:trPr>
          <w:jc w:val="center"/>
        </w:trPr>
        <w:tc>
          <w:tcPr>
            <w:tcW w:w="5000" w:type="pct"/>
            <w:gridSpan w:val="11"/>
            <w:vAlign w:val="center"/>
          </w:tcPr>
          <w:p>
            <w:pPr>
              <w:pStyle w:val="25"/>
              <w:jc w:val="center"/>
              <w:rPr>
                <w:rFonts w:cs="Times New Roman"/>
              </w:rPr>
            </w:pPr>
            <w:r>
              <w:rPr>
                <w:rFonts w:hint="eastAsia" w:cs="Times New Roman"/>
                <w:sz w:val="40"/>
                <w:szCs w:val="40"/>
              </w:rPr>
              <w:t xml:space="preserve">收入决算表 </w:t>
            </w:r>
          </w:p>
        </w:tc>
      </w:tr>
      <w:tr>
        <w:tblPrEx>
          <w:tblCellMar>
            <w:top w:w="0" w:type="dxa"/>
            <w:left w:w="0" w:type="dxa"/>
            <w:bottom w:w="0" w:type="dxa"/>
            <w:right w:w="0" w:type="dxa"/>
          </w:tblCellMar>
        </w:tblPrEx>
        <w:trPr>
          <w:jc w:val="center"/>
        </w:trPr>
        <w:tc>
          <w:tcPr>
            <w:tcW w:w="112" w:type="pct"/>
            <w:vAlign w:val="center"/>
          </w:tcPr>
          <w:p>
            <w:pPr>
              <w:pStyle w:val="25"/>
              <w:rPr>
                <w:rFonts w:cs="Times New Roman"/>
              </w:rPr>
            </w:pPr>
          </w:p>
        </w:tc>
        <w:tc>
          <w:tcPr>
            <w:tcW w:w="112" w:type="pct"/>
            <w:vAlign w:val="center"/>
          </w:tcPr>
          <w:p>
            <w:pPr>
              <w:pStyle w:val="25"/>
              <w:rPr>
                <w:rFonts w:cs="Times New Roman"/>
              </w:rPr>
            </w:pPr>
          </w:p>
        </w:tc>
        <w:tc>
          <w:tcPr>
            <w:tcW w:w="112" w:type="pct"/>
            <w:vAlign w:val="center"/>
          </w:tcPr>
          <w:p>
            <w:pPr>
              <w:pStyle w:val="25"/>
              <w:rPr>
                <w:rFonts w:cs="Times New Roman"/>
              </w:rPr>
            </w:pPr>
          </w:p>
        </w:tc>
        <w:tc>
          <w:tcPr>
            <w:tcW w:w="993" w:type="pct"/>
            <w:vAlign w:val="center"/>
          </w:tcPr>
          <w:p>
            <w:pPr>
              <w:pStyle w:val="25"/>
              <w:rPr>
                <w:rFonts w:cs="Times New Roman"/>
              </w:rPr>
            </w:pPr>
          </w:p>
        </w:tc>
        <w:tc>
          <w:tcPr>
            <w:tcW w:w="678" w:type="pct"/>
            <w:vAlign w:val="center"/>
          </w:tcPr>
          <w:p>
            <w:pPr>
              <w:pStyle w:val="25"/>
              <w:rPr>
                <w:rFonts w:cs="Times New Roman"/>
              </w:rPr>
            </w:pPr>
          </w:p>
        </w:tc>
        <w:tc>
          <w:tcPr>
            <w:tcW w:w="496" w:type="pct"/>
            <w:vAlign w:val="center"/>
          </w:tcPr>
          <w:p>
            <w:pPr>
              <w:pStyle w:val="25"/>
              <w:rPr>
                <w:rFonts w:cs="Times New Roman"/>
              </w:rPr>
            </w:pPr>
          </w:p>
        </w:tc>
        <w:tc>
          <w:tcPr>
            <w:tcW w:w="496" w:type="pct"/>
            <w:vAlign w:val="center"/>
          </w:tcPr>
          <w:p>
            <w:pPr>
              <w:pStyle w:val="25"/>
              <w:rPr>
                <w:rFonts w:cs="Times New Roman"/>
              </w:rPr>
            </w:pPr>
          </w:p>
        </w:tc>
        <w:tc>
          <w:tcPr>
            <w:tcW w:w="496" w:type="pct"/>
            <w:vAlign w:val="center"/>
          </w:tcPr>
          <w:p>
            <w:pPr>
              <w:pStyle w:val="25"/>
              <w:rPr>
                <w:rFonts w:cs="Times New Roman"/>
              </w:rPr>
            </w:pPr>
          </w:p>
        </w:tc>
        <w:tc>
          <w:tcPr>
            <w:tcW w:w="496" w:type="pct"/>
            <w:vAlign w:val="center"/>
          </w:tcPr>
          <w:p>
            <w:pPr>
              <w:pStyle w:val="25"/>
              <w:rPr>
                <w:rFonts w:cs="Times New Roman"/>
              </w:rPr>
            </w:pPr>
          </w:p>
        </w:tc>
        <w:tc>
          <w:tcPr>
            <w:tcW w:w="993" w:type="pct"/>
            <w:gridSpan w:val="2"/>
            <w:vAlign w:val="center"/>
          </w:tcPr>
          <w:p>
            <w:pPr>
              <w:pStyle w:val="25"/>
              <w:jc w:val="right"/>
              <w:rPr>
                <w:rFonts w:cs="Times New Roman"/>
              </w:rPr>
            </w:pPr>
            <w:r>
              <w:rPr>
                <w:rFonts w:hint="eastAsia" w:cs="Times New Roman"/>
                <w:sz w:val="20"/>
                <w:szCs w:val="20"/>
              </w:rPr>
              <w:t xml:space="preserve">公开02表 </w:t>
            </w:r>
          </w:p>
        </w:tc>
      </w:tr>
      <w:tr>
        <w:tblPrEx>
          <w:tblCellMar>
            <w:top w:w="0" w:type="dxa"/>
            <w:left w:w="0" w:type="dxa"/>
            <w:bottom w:w="0" w:type="dxa"/>
            <w:right w:w="0" w:type="dxa"/>
          </w:tblCellMar>
        </w:tblPrEx>
        <w:trPr>
          <w:jc w:val="center"/>
        </w:trPr>
        <w:tc>
          <w:tcPr>
            <w:tcW w:w="4004" w:type="pct"/>
            <w:gridSpan w:val="9"/>
            <w:vAlign w:val="center"/>
          </w:tcPr>
          <w:p>
            <w:pPr>
              <w:pStyle w:val="25"/>
              <w:rPr>
                <w:rFonts w:cs="Times New Roman"/>
              </w:rPr>
            </w:pPr>
            <w:r>
              <w:rPr>
                <w:rFonts w:hint="eastAsia" w:cs="Times New Roman"/>
                <w:sz w:val="22"/>
                <w:szCs w:val="22"/>
              </w:rPr>
              <w:t xml:space="preserve">部门：益阳市资阳区城市管理和综合执法局 </w:t>
            </w:r>
          </w:p>
        </w:tc>
        <w:tc>
          <w:tcPr>
            <w:tcW w:w="993" w:type="pct"/>
            <w:gridSpan w:val="2"/>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334"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本年收入合计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财政拨款收入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上级补助收入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事业收入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经营收入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附属单位上缴收入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其他收入 </w:t>
            </w:r>
          </w:p>
        </w:tc>
      </w:tr>
      <w:tr>
        <w:tblPrEx>
          <w:tblCellMar>
            <w:top w:w="0" w:type="dxa"/>
            <w:left w:w="0" w:type="dxa"/>
            <w:bottom w:w="0" w:type="dxa"/>
            <w:right w:w="0" w:type="dxa"/>
          </w:tblCellMar>
        </w:tblPrEx>
        <w:trPr>
          <w:trHeight w:val="311" w:hRule="atLeast"/>
          <w:jc w:val="center"/>
        </w:trPr>
        <w:tc>
          <w:tcPr>
            <w:tcW w:w="339" w:type="pct"/>
            <w:gridSpan w:val="3"/>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jc w:val="center"/>
        </w:trPr>
        <w:tc>
          <w:tcPr>
            <w:tcW w:w="1334"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678"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49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49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c>
          <w:tcPr>
            <w:tcW w:w="49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 </w:t>
            </w:r>
          </w:p>
        </w:tc>
        <w:tc>
          <w:tcPr>
            <w:tcW w:w="49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 </w:t>
            </w:r>
          </w:p>
        </w:tc>
        <w:tc>
          <w:tcPr>
            <w:tcW w:w="49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 </w:t>
            </w:r>
          </w:p>
        </w:tc>
        <w:tc>
          <w:tcPr>
            <w:tcW w:w="49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7 </w:t>
            </w:r>
          </w:p>
        </w:tc>
      </w:tr>
      <w:tr>
        <w:tblPrEx>
          <w:tblCellMar>
            <w:top w:w="0" w:type="dxa"/>
            <w:left w:w="0" w:type="dxa"/>
            <w:bottom w:w="0" w:type="dxa"/>
            <w:right w:w="0" w:type="dxa"/>
          </w:tblCellMar>
        </w:tblPrEx>
        <w:trPr>
          <w:jc w:val="center"/>
        </w:trPr>
        <w:tc>
          <w:tcPr>
            <w:tcW w:w="1334"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1,208.90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1,016.48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192.42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社会保障和就业支出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行政事业单位养老支出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2080505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机关事业单位基本养老保险缴费支出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7.72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7.72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2080506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机关事业单位职业年金缴费支出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0.25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0.25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卫生健康支出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行政事业单位医疗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2101101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行政单位医疗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5.94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5.94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2101103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公务员医疗补助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3.97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3.97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节能环保支出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21104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自然生态保护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2110402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农村环境保护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城乡社区支出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990.81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990.81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城乡社区管理事务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545.31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545.31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2120101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行政运行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2120104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城管执法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469.31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469.31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2120199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其他城乡社区管理事务支出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75.00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75.00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21213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城市基础设施配套费安排的支出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2121399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其他城市基础设施配套费安排的支出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21299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434.00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434.00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2129901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434.00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434.00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住房保障支出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22102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住房改革支出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2210201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住房公积金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229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192.42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192.42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22999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192.42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192.42 </w:t>
            </w:r>
          </w:p>
        </w:tc>
      </w:tr>
      <w:tr>
        <w:tblPrEx>
          <w:tblCellMar>
            <w:top w:w="0" w:type="dxa"/>
            <w:left w:w="0" w:type="dxa"/>
            <w:bottom w:w="0" w:type="dxa"/>
            <w:right w:w="0" w:type="dxa"/>
          </w:tblCellMar>
        </w:tblPrEx>
        <w:trPr>
          <w:jc w:val="center"/>
        </w:trPr>
        <w:tc>
          <w:tcPr>
            <w:tcW w:w="339"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2299901 </w:t>
            </w:r>
          </w:p>
        </w:tc>
        <w:tc>
          <w:tcPr>
            <w:tcW w:w="99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其他支出 </w:t>
            </w:r>
          </w:p>
        </w:tc>
        <w:tc>
          <w:tcPr>
            <w:tcW w:w="67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192.42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9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192.42 </w:t>
            </w:r>
          </w:p>
        </w:tc>
      </w:tr>
      <w:tr>
        <w:tblPrEx>
          <w:tblCellMar>
            <w:top w:w="0" w:type="dxa"/>
            <w:left w:w="0" w:type="dxa"/>
            <w:bottom w:w="0" w:type="dxa"/>
            <w:right w:w="0" w:type="dxa"/>
          </w:tblCellMar>
        </w:tblPrEx>
        <w:trPr>
          <w:jc w:val="center"/>
        </w:trPr>
        <w:tc>
          <w:tcPr>
            <w:tcW w:w="5000" w:type="pct"/>
            <w:gridSpan w:val="11"/>
            <w:vAlign w:val="center"/>
          </w:tcPr>
          <w:p>
            <w:pPr>
              <w:pStyle w:val="25"/>
              <w:rPr>
                <w:rFonts w:cs="Times New Roman"/>
              </w:rPr>
            </w:pPr>
            <w:r>
              <w:rPr>
                <w:rFonts w:hint="eastAsia" w:cs="Times New Roman"/>
                <w:sz w:val="22"/>
                <w:szCs w:val="22"/>
              </w:rPr>
              <w:t xml:space="preserve">注：本表反映部门本年度取得的各项收入情况。本表金额转换为万元时，因四舍五入可能存在尾数误差。 </w:t>
            </w:r>
          </w:p>
        </w:tc>
      </w:tr>
    </w:tbl>
    <w:p>
      <w:pPr>
        <w:pStyle w:val="25"/>
      </w:pPr>
      <w:r>
        <w:rPr>
          <w:rFonts w:hint="eastAsia"/>
        </w:rPr>
        <w:t xml:space="preserve"> </w:t>
      </w: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400"/>
        <w:gridCol w:w="401"/>
        <w:gridCol w:w="401"/>
        <w:gridCol w:w="3551"/>
        <w:gridCol w:w="2415"/>
        <w:gridCol w:w="1771"/>
        <w:gridCol w:w="1771"/>
        <w:gridCol w:w="1777"/>
        <w:gridCol w:w="1771"/>
        <w:gridCol w:w="1780"/>
      </w:tblGrid>
      <w:tr>
        <w:trPr>
          <w:jc w:val="center"/>
        </w:trPr>
        <w:tc>
          <w:tcPr>
            <w:tcW w:w="5000" w:type="pct"/>
            <w:gridSpan w:val="10"/>
            <w:vAlign w:val="center"/>
          </w:tcPr>
          <w:p>
            <w:pPr>
              <w:pStyle w:val="25"/>
              <w:jc w:val="center"/>
              <w:rPr>
                <w:rFonts w:cs="Times New Roman"/>
              </w:rPr>
            </w:pPr>
            <w:r>
              <w:rPr>
                <w:rFonts w:hint="eastAsia" w:cs="Times New Roman"/>
                <w:sz w:val="40"/>
                <w:szCs w:val="40"/>
              </w:rPr>
              <w:t xml:space="preserve">支出决算表 </w:t>
            </w:r>
          </w:p>
        </w:tc>
      </w:tr>
      <w:tr>
        <w:tblPrEx>
          <w:tblCellMar>
            <w:top w:w="0" w:type="dxa"/>
            <w:left w:w="0" w:type="dxa"/>
            <w:bottom w:w="0" w:type="dxa"/>
            <w:right w:w="0" w:type="dxa"/>
          </w:tblCellMar>
        </w:tblPrEx>
        <w:trPr>
          <w:jc w:val="center"/>
        </w:trPr>
        <w:tc>
          <w:tcPr>
            <w:tcW w:w="125" w:type="pct"/>
            <w:vAlign w:val="center"/>
          </w:tcPr>
          <w:p>
            <w:pPr>
              <w:pStyle w:val="25"/>
              <w:rPr>
                <w:rFonts w:cs="Times New Roman"/>
              </w:rPr>
            </w:pPr>
          </w:p>
        </w:tc>
        <w:tc>
          <w:tcPr>
            <w:tcW w:w="125" w:type="pct"/>
            <w:vAlign w:val="center"/>
          </w:tcPr>
          <w:p>
            <w:pPr>
              <w:pStyle w:val="25"/>
              <w:rPr>
                <w:rFonts w:cs="Times New Roman"/>
              </w:rPr>
            </w:pPr>
          </w:p>
        </w:tc>
        <w:tc>
          <w:tcPr>
            <w:tcW w:w="125" w:type="pct"/>
            <w:vAlign w:val="center"/>
          </w:tcPr>
          <w:p>
            <w:pPr>
              <w:pStyle w:val="25"/>
              <w:rPr>
                <w:rFonts w:cs="Times New Roman"/>
              </w:rPr>
            </w:pPr>
          </w:p>
        </w:tc>
        <w:tc>
          <w:tcPr>
            <w:tcW w:w="1105" w:type="pct"/>
            <w:vAlign w:val="center"/>
          </w:tcPr>
          <w:p>
            <w:pPr>
              <w:pStyle w:val="25"/>
              <w:rPr>
                <w:rFonts w:cs="Times New Roman"/>
              </w:rPr>
            </w:pPr>
          </w:p>
        </w:tc>
        <w:tc>
          <w:tcPr>
            <w:tcW w:w="753" w:type="pct"/>
            <w:vAlign w:val="center"/>
          </w:tcPr>
          <w:p>
            <w:pPr>
              <w:pStyle w:val="25"/>
              <w:rPr>
                <w:rFonts w:cs="Times New Roman"/>
              </w:rPr>
            </w:pPr>
          </w:p>
        </w:tc>
        <w:tc>
          <w:tcPr>
            <w:tcW w:w="552" w:type="pct"/>
            <w:vAlign w:val="center"/>
          </w:tcPr>
          <w:p>
            <w:pPr>
              <w:pStyle w:val="25"/>
              <w:rPr>
                <w:rFonts w:cs="Times New Roman"/>
              </w:rPr>
            </w:pPr>
          </w:p>
        </w:tc>
        <w:tc>
          <w:tcPr>
            <w:tcW w:w="552" w:type="pct"/>
            <w:vAlign w:val="center"/>
          </w:tcPr>
          <w:p>
            <w:pPr>
              <w:pStyle w:val="25"/>
              <w:rPr>
                <w:rFonts w:cs="Times New Roman"/>
              </w:rPr>
            </w:pPr>
          </w:p>
        </w:tc>
        <w:tc>
          <w:tcPr>
            <w:tcW w:w="552" w:type="pct"/>
            <w:vAlign w:val="center"/>
          </w:tcPr>
          <w:p>
            <w:pPr>
              <w:pStyle w:val="25"/>
              <w:rPr>
                <w:rFonts w:cs="Times New Roman"/>
              </w:rPr>
            </w:pPr>
          </w:p>
        </w:tc>
        <w:tc>
          <w:tcPr>
            <w:tcW w:w="1105" w:type="pct"/>
            <w:gridSpan w:val="2"/>
            <w:vAlign w:val="center"/>
          </w:tcPr>
          <w:p>
            <w:pPr>
              <w:pStyle w:val="25"/>
              <w:jc w:val="right"/>
              <w:rPr>
                <w:rFonts w:cs="Times New Roman"/>
              </w:rPr>
            </w:pPr>
            <w:r>
              <w:rPr>
                <w:rFonts w:hint="eastAsia" w:cs="Times New Roman"/>
                <w:sz w:val="20"/>
                <w:szCs w:val="20"/>
              </w:rPr>
              <w:t xml:space="preserve">公开03表 </w:t>
            </w:r>
          </w:p>
        </w:tc>
      </w:tr>
      <w:tr>
        <w:tblPrEx>
          <w:tblCellMar>
            <w:top w:w="0" w:type="dxa"/>
            <w:left w:w="0" w:type="dxa"/>
            <w:bottom w:w="0" w:type="dxa"/>
            <w:right w:w="0" w:type="dxa"/>
          </w:tblCellMar>
        </w:tblPrEx>
        <w:trPr>
          <w:jc w:val="center"/>
        </w:trPr>
        <w:tc>
          <w:tcPr>
            <w:tcW w:w="3893" w:type="pct"/>
            <w:gridSpan w:val="8"/>
            <w:vAlign w:val="center"/>
          </w:tcPr>
          <w:p>
            <w:pPr>
              <w:pStyle w:val="25"/>
              <w:rPr>
                <w:rFonts w:cs="Times New Roman"/>
              </w:rPr>
            </w:pPr>
            <w:r>
              <w:rPr>
                <w:rFonts w:hint="eastAsia" w:cs="Times New Roman"/>
                <w:sz w:val="22"/>
                <w:szCs w:val="22"/>
              </w:rPr>
              <w:t xml:space="preserve">部门：益阳市资阳区城市管理和综合执法局 </w:t>
            </w:r>
          </w:p>
        </w:tc>
        <w:tc>
          <w:tcPr>
            <w:tcW w:w="1105" w:type="pct"/>
            <w:gridSpan w:val="2"/>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482"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本年支出合计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上缴上级支出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经营支出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对附属单位补助支出 </w:t>
            </w:r>
          </w:p>
        </w:tc>
      </w:tr>
      <w:tr>
        <w:tblPrEx>
          <w:tblCellMar>
            <w:top w:w="0" w:type="dxa"/>
            <w:left w:w="0" w:type="dxa"/>
            <w:bottom w:w="0" w:type="dxa"/>
            <w:right w:w="0" w:type="dxa"/>
          </w:tblCellMar>
        </w:tblPrEx>
        <w:trPr>
          <w:trHeight w:val="311" w:hRule="atLeast"/>
          <w:jc w:val="center"/>
        </w:trPr>
        <w:tc>
          <w:tcPr>
            <w:tcW w:w="375" w:type="pct"/>
            <w:gridSpan w:val="3"/>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rPr>
          <w:jc w:val="center"/>
        </w:trPr>
        <w:tc>
          <w:tcPr>
            <w:tcW w:w="1482"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753"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55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55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c>
          <w:tcPr>
            <w:tcW w:w="55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 </w:t>
            </w:r>
          </w:p>
        </w:tc>
        <w:tc>
          <w:tcPr>
            <w:tcW w:w="55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 </w:t>
            </w:r>
          </w:p>
        </w:tc>
        <w:tc>
          <w:tcPr>
            <w:tcW w:w="552"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 </w:t>
            </w:r>
          </w:p>
        </w:tc>
      </w:tr>
      <w:tr>
        <w:trPr>
          <w:jc w:val="center"/>
        </w:trPr>
        <w:tc>
          <w:tcPr>
            <w:tcW w:w="1482"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1,036.46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1,036.46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社会保障和就业支出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行政事业单位养老支出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2080505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机关事业单位基本养老保险缴费支出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7.72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7.72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2080506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机关事业单位职业年金缴费支出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0.25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0.25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卫生健康支出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行政事业单位医疗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2101101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行政单位医疗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5.94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5.94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2101103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公务员医疗补助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3.97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3.97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节能环保支出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21104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自然生态保护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2110402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农村环境保护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城乡社区支出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686.90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686.90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城乡社区管理事务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539.83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539.83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2120101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行政运行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2120104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城管执法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463.83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463.83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2120199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其他城乡社区管理事务支出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75.00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75.00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21213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城市基础设施配套费安排的支出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2121399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其他城市基础设施配套费安排的支出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21299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2129901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住房保障支出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22102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住房改革支出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2210201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住房公积金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229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323.88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323.88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22999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323.88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323.88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75"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2299901 </w:t>
            </w:r>
          </w:p>
        </w:tc>
        <w:tc>
          <w:tcPr>
            <w:tcW w:w="1105"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其他支出 </w:t>
            </w:r>
          </w:p>
        </w:tc>
        <w:tc>
          <w:tcPr>
            <w:tcW w:w="75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323.88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323.88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552"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5000" w:type="pct"/>
            <w:gridSpan w:val="10"/>
            <w:vAlign w:val="center"/>
          </w:tcPr>
          <w:p>
            <w:pPr>
              <w:pStyle w:val="25"/>
              <w:rPr>
                <w:rFonts w:cs="Times New Roman"/>
              </w:rPr>
            </w:pPr>
            <w:r>
              <w:rPr>
                <w:rFonts w:hint="eastAsia" w:cs="Times New Roman"/>
                <w:sz w:val="22"/>
                <w:szCs w:val="22"/>
              </w:rPr>
              <w:t xml:space="preserve">注：本表反映部门本年度各项支出情况。本表金额转换为万元时，因四舍五入可能存在尾数误差。 </w:t>
            </w:r>
          </w:p>
        </w:tc>
      </w:tr>
    </w:tbl>
    <w:p>
      <w:pPr>
        <w:pStyle w:val="25"/>
      </w:pPr>
      <w:r>
        <w:rPr>
          <w:rFonts w:hint="eastAsia"/>
        </w:rPr>
        <w:t xml:space="preserve"> </w:t>
      </w: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pStyle w:val="25"/>
      </w:pP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3204"/>
        <w:gridCol w:w="529"/>
        <w:gridCol w:w="1559"/>
        <w:gridCol w:w="3692"/>
        <w:gridCol w:w="529"/>
        <w:gridCol w:w="2130"/>
        <w:gridCol w:w="1463"/>
        <w:gridCol w:w="1459"/>
        <w:gridCol w:w="1473"/>
      </w:tblGrid>
      <w:tr>
        <w:trPr>
          <w:jc w:val="center"/>
        </w:trPr>
        <w:tc>
          <w:tcPr>
            <w:tcW w:w="5000" w:type="pct"/>
            <w:gridSpan w:val="9"/>
            <w:vAlign w:val="center"/>
          </w:tcPr>
          <w:p>
            <w:pPr>
              <w:pStyle w:val="25"/>
              <w:jc w:val="center"/>
              <w:rPr>
                <w:rFonts w:cs="Times New Roman"/>
              </w:rPr>
            </w:pPr>
            <w:r>
              <w:rPr>
                <w:rFonts w:hint="eastAsia" w:cs="Times New Roman"/>
                <w:sz w:val="40"/>
                <w:szCs w:val="40"/>
              </w:rPr>
              <w:t xml:space="preserve">财政拨款收入支出决算总表 </w:t>
            </w:r>
          </w:p>
        </w:tc>
      </w:tr>
      <w:tr>
        <w:tblPrEx>
          <w:tblCellMar>
            <w:top w:w="0" w:type="dxa"/>
            <w:left w:w="0" w:type="dxa"/>
            <w:bottom w:w="0" w:type="dxa"/>
            <w:right w:w="0" w:type="dxa"/>
          </w:tblCellMar>
        </w:tblPrEx>
        <w:trPr>
          <w:jc w:val="center"/>
        </w:trPr>
        <w:tc>
          <w:tcPr>
            <w:tcW w:w="999" w:type="pct"/>
            <w:vAlign w:val="center"/>
          </w:tcPr>
          <w:p>
            <w:pPr>
              <w:pStyle w:val="25"/>
              <w:rPr>
                <w:rFonts w:cs="Times New Roman"/>
              </w:rPr>
            </w:pPr>
          </w:p>
        </w:tc>
        <w:tc>
          <w:tcPr>
            <w:tcW w:w="165" w:type="pct"/>
            <w:vAlign w:val="center"/>
          </w:tcPr>
          <w:p>
            <w:pPr>
              <w:pStyle w:val="25"/>
              <w:rPr>
                <w:rFonts w:cs="Times New Roman"/>
              </w:rPr>
            </w:pPr>
          </w:p>
        </w:tc>
        <w:tc>
          <w:tcPr>
            <w:tcW w:w="486" w:type="pct"/>
            <w:vAlign w:val="center"/>
          </w:tcPr>
          <w:p>
            <w:pPr>
              <w:pStyle w:val="25"/>
              <w:rPr>
                <w:rFonts w:cs="Times New Roman"/>
              </w:rPr>
            </w:pPr>
          </w:p>
        </w:tc>
        <w:tc>
          <w:tcPr>
            <w:tcW w:w="1151" w:type="pct"/>
            <w:vAlign w:val="center"/>
          </w:tcPr>
          <w:p>
            <w:pPr>
              <w:pStyle w:val="25"/>
              <w:rPr>
                <w:rFonts w:cs="Times New Roman"/>
              </w:rPr>
            </w:pPr>
          </w:p>
        </w:tc>
        <w:tc>
          <w:tcPr>
            <w:tcW w:w="165" w:type="pct"/>
            <w:vAlign w:val="center"/>
          </w:tcPr>
          <w:p>
            <w:pPr>
              <w:pStyle w:val="25"/>
              <w:rPr>
                <w:rFonts w:cs="Times New Roman"/>
              </w:rPr>
            </w:pPr>
          </w:p>
        </w:tc>
        <w:tc>
          <w:tcPr>
            <w:tcW w:w="664" w:type="pct"/>
            <w:vAlign w:val="center"/>
          </w:tcPr>
          <w:p>
            <w:pPr>
              <w:pStyle w:val="25"/>
              <w:rPr>
                <w:rFonts w:cs="Times New Roman"/>
              </w:rPr>
            </w:pPr>
          </w:p>
        </w:tc>
        <w:tc>
          <w:tcPr>
            <w:tcW w:w="455" w:type="pct"/>
            <w:vAlign w:val="center"/>
          </w:tcPr>
          <w:p>
            <w:pPr>
              <w:pStyle w:val="25"/>
              <w:rPr>
                <w:rFonts w:cs="Times New Roman"/>
              </w:rPr>
            </w:pPr>
          </w:p>
        </w:tc>
        <w:tc>
          <w:tcPr>
            <w:tcW w:w="911" w:type="pct"/>
            <w:gridSpan w:val="2"/>
            <w:vAlign w:val="center"/>
          </w:tcPr>
          <w:p>
            <w:pPr>
              <w:pStyle w:val="25"/>
              <w:jc w:val="right"/>
              <w:rPr>
                <w:rFonts w:cs="Times New Roman"/>
              </w:rPr>
            </w:pPr>
            <w:r>
              <w:rPr>
                <w:rFonts w:hint="eastAsia" w:cs="Times New Roman"/>
                <w:sz w:val="20"/>
                <w:szCs w:val="20"/>
              </w:rPr>
              <w:t xml:space="preserve">公开04表 </w:t>
            </w:r>
          </w:p>
        </w:tc>
      </w:tr>
      <w:tr>
        <w:tblPrEx>
          <w:tblCellMar>
            <w:top w:w="0" w:type="dxa"/>
            <w:left w:w="0" w:type="dxa"/>
            <w:bottom w:w="0" w:type="dxa"/>
            <w:right w:w="0" w:type="dxa"/>
          </w:tblCellMar>
        </w:tblPrEx>
        <w:trPr>
          <w:jc w:val="center"/>
        </w:trPr>
        <w:tc>
          <w:tcPr>
            <w:tcW w:w="4086" w:type="pct"/>
            <w:gridSpan w:val="7"/>
            <w:vAlign w:val="center"/>
          </w:tcPr>
          <w:p>
            <w:pPr>
              <w:pStyle w:val="25"/>
              <w:rPr>
                <w:rFonts w:cs="Times New Roman"/>
              </w:rPr>
            </w:pPr>
            <w:r>
              <w:rPr>
                <w:rFonts w:hint="eastAsia" w:cs="Times New Roman"/>
                <w:sz w:val="22"/>
                <w:szCs w:val="22"/>
              </w:rPr>
              <w:t xml:space="preserve">部门：益阳市资阳区城市管理和综合执法局 </w:t>
            </w:r>
          </w:p>
        </w:tc>
        <w:tc>
          <w:tcPr>
            <w:tcW w:w="911" w:type="pct"/>
            <w:gridSpan w:val="2"/>
            <w:tcBorders>
              <w:top w:val="nil"/>
              <w:left w:val="nil"/>
              <w:bottom w:val="single" w:color="666666" w:sz="4" w:space="0"/>
              <w:right w:val="nil"/>
            </w:tcBorders>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650" w:type="pct"/>
            <w:gridSpan w:val="3"/>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收 入 </w:t>
            </w:r>
          </w:p>
        </w:tc>
        <w:tc>
          <w:tcPr>
            <w:tcW w:w="3349" w:type="pct"/>
            <w:gridSpan w:val="6"/>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支 出 </w:t>
            </w:r>
          </w:p>
        </w:tc>
      </w:tr>
      <w:tr>
        <w:tblPrEx>
          <w:tblCellMar>
            <w:top w:w="0" w:type="dxa"/>
            <w:left w:w="0" w:type="dxa"/>
            <w:bottom w:w="0" w:type="dxa"/>
            <w:right w:w="0" w:type="dxa"/>
          </w:tblCellMar>
        </w:tblPrEx>
        <w:trPr>
          <w:trHeight w:val="311" w:hRule="atLeast"/>
          <w:jc w:val="center"/>
        </w:trPr>
        <w:tc>
          <w:tcPr>
            <w:tcW w:w="0" w:type="pct"/>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行次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金额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行次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一般公共预算财政拨款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政府性基金预算财政拨款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国有资本经营预算财政拨款 </w:t>
            </w:r>
          </w:p>
        </w:tc>
      </w:tr>
      <w:tr>
        <w:tblPrEx>
          <w:tblCellMar>
            <w:top w:w="0" w:type="dxa"/>
            <w:left w:w="0" w:type="dxa"/>
            <w:bottom w:w="0" w:type="dxa"/>
            <w:right w:w="0" w:type="dxa"/>
          </w:tblCellMar>
        </w:tblPrEx>
        <w:trPr>
          <w:trHeight w:val="311" w:hRule="atLeast"/>
          <w:jc w:val="center"/>
        </w:trPr>
        <w:tc>
          <w:tcPr>
            <w:tcW w:w="0" w:type="auto"/>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p>
        </w:tc>
        <w:tc>
          <w:tcPr>
            <w:tcW w:w="48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1151"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p>
        </w:tc>
        <w:tc>
          <w:tcPr>
            <w:tcW w:w="664"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45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c>
          <w:tcPr>
            <w:tcW w:w="45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 </w:t>
            </w:r>
          </w:p>
        </w:tc>
        <w:tc>
          <w:tcPr>
            <w:tcW w:w="45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一、一般公共预算财政拨款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1,004.98 </w:t>
            </w: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一、一般公共服务支出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33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二、政府性基金预算财政拨款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二、外交支出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34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三、国有资本经营财政拨款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三、国防支出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35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四、公共安全支出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36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五、教育支出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37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六、科学技术支出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38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7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七、文化旅游体育与传媒支出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39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8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八、社会保障和就业支出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40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9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九、卫生健康支出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41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10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十、节能环保支出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42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11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十一、城乡社区支出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43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686.90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675.40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12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十二、农林水支出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44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13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十三、交通运输支出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45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14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十四、资源勘探工业信息等支出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46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15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十五、商业服务业等支出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47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16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十六、金融支出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48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17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十七、援助其他地区支出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49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18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十八、自然资源海洋气象等支出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50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19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十九、住房保障支出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51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20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二十、粮油物资储备支出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52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21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二十一、国有资本经营预算支出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53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22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二十二、灾害防治及应急管理支出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54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23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二十三、其他支出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55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24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二十四、债务还本支出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56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25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二十五、债务付息支出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57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26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二十六、抗疫特别国债安排的支出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58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本年收入合计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27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1,016.48 </w:t>
            </w:r>
          </w:p>
        </w:tc>
        <w:tc>
          <w:tcPr>
            <w:tcW w:w="1151"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本年支出合计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59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712.57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701.07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11.50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年初财政拨款结转和结余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28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165.57 </w:t>
            </w: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年末财政拨款结转和结余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60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469.48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469.48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一般公共预算财政拨款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29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165.57 </w:t>
            </w: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61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政府性基金预算财政拨款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30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62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国有资本经营预算财政拨款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31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15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63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999"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总计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32 </w:t>
            </w:r>
          </w:p>
        </w:tc>
        <w:tc>
          <w:tcPr>
            <w:tcW w:w="48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1,182.05 </w:t>
            </w:r>
          </w:p>
        </w:tc>
        <w:tc>
          <w:tcPr>
            <w:tcW w:w="1151"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总计 </w:t>
            </w:r>
          </w:p>
        </w:tc>
        <w:tc>
          <w:tcPr>
            <w:tcW w:w="16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64 </w:t>
            </w:r>
          </w:p>
        </w:tc>
        <w:tc>
          <w:tcPr>
            <w:tcW w:w="6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1,182.05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1,170.55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11.50 </w:t>
            </w:r>
          </w:p>
        </w:tc>
        <w:tc>
          <w:tcPr>
            <w:tcW w:w="45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r>
      <w:tr>
        <w:trPr>
          <w:jc w:val="center"/>
        </w:trPr>
        <w:tc>
          <w:tcPr>
            <w:tcW w:w="5000" w:type="pct"/>
            <w:gridSpan w:val="9"/>
            <w:vAlign w:val="center"/>
          </w:tcPr>
          <w:p>
            <w:pPr>
              <w:pStyle w:val="25"/>
              <w:rPr>
                <w:rFonts w:cs="Times New Roman"/>
              </w:rPr>
            </w:pPr>
            <w:r>
              <w:rPr>
                <w:rFonts w:hint="eastAsia" w:cs="Times New Roman"/>
                <w:sz w:val="22"/>
                <w:szCs w:val="22"/>
              </w:rPr>
              <w:t xml:space="preserve">注：本表反映部门本年度一般公共预算财政拨款、政府性基金预算财政拨款和国有资本经营预算财政拨款的总收支和年末结转结余情况。本表金额转换为万元时，因四舍五入可能存在尾数误差。 </w:t>
            </w:r>
          </w:p>
        </w:tc>
      </w:tr>
    </w:tbl>
    <w:p>
      <w:pPr>
        <w:pStyle w:val="25"/>
      </w:pPr>
      <w:r>
        <w:rPr>
          <w:rFonts w:hint="eastAsia"/>
        </w:rPr>
        <w:t xml:space="preserve"> </w:t>
      </w:r>
    </w:p>
    <w:p>
      <w:pPr>
        <w:pStyle w:val="25"/>
      </w:pPr>
    </w:p>
    <w:p>
      <w:pPr>
        <w:pStyle w:val="25"/>
      </w:pPr>
    </w:p>
    <w:p>
      <w:pPr>
        <w:pStyle w:val="25"/>
      </w:pPr>
    </w:p>
    <w:p>
      <w:pPr>
        <w:pStyle w:val="25"/>
      </w:pPr>
    </w:p>
    <w:p>
      <w:pPr>
        <w:pStyle w:val="25"/>
      </w:pPr>
    </w:p>
    <w:p>
      <w:pPr>
        <w:pStyle w:val="25"/>
      </w:pPr>
    </w:p>
    <w:p>
      <w:pPr>
        <w:pStyle w:val="25"/>
      </w:pP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452"/>
        <w:gridCol w:w="452"/>
        <w:gridCol w:w="455"/>
        <w:gridCol w:w="5398"/>
        <w:gridCol w:w="3092"/>
        <w:gridCol w:w="3093"/>
        <w:gridCol w:w="3096"/>
      </w:tblGrid>
      <w:tr>
        <w:trPr>
          <w:jc w:val="center"/>
        </w:trPr>
        <w:tc>
          <w:tcPr>
            <w:tcW w:w="5000" w:type="pct"/>
            <w:gridSpan w:val="7"/>
            <w:vAlign w:val="center"/>
          </w:tcPr>
          <w:p>
            <w:pPr>
              <w:pStyle w:val="25"/>
              <w:jc w:val="center"/>
              <w:rPr>
                <w:rFonts w:cs="Times New Roman"/>
              </w:rPr>
            </w:pPr>
            <w:r>
              <w:rPr>
                <w:rFonts w:hint="eastAsia" w:cs="Times New Roman"/>
                <w:sz w:val="40"/>
                <w:szCs w:val="40"/>
              </w:rPr>
              <w:t xml:space="preserve">一般公共预算财政拨款支出决算表 </w:t>
            </w:r>
          </w:p>
        </w:tc>
      </w:tr>
      <w:tr>
        <w:tblPrEx>
          <w:tblCellMar>
            <w:top w:w="0" w:type="dxa"/>
            <w:left w:w="0" w:type="dxa"/>
            <w:bottom w:w="0" w:type="dxa"/>
            <w:right w:w="0" w:type="dxa"/>
          </w:tblCellMar>
        </w:tblPrEx>
        <w:trPr>
          <w:jc w:val="center"/>
        </w:trPr>
        <w:tc>
          <w:tcPr>
            <w:tcW w:w="141" w:type="pct"/>
            <w:vAlign w:val="center"/>
          </w:tcPr>
          <w:p>
            <w:pPr>
              <w:pStyle w:val="25"/>
              <w:rPr>
                <w:rFonts w:cs="Times New Roman"/>
              </w:rPr>
            </w:pPr>
          </w:p>
        </w:tc>
        <w:tc>
          <w:tcPr>
            <w:tcW w:w="141" w:type="pct"/>
            <w:vAlign w:val="center"/>
          </w:tcPr>
          <w:p>
            <w:pPr>
              <w:pStyle w:val="25"/>
              <w:rPr>
                <w:rFonts w:cs="Times New Roman"/>
              </w:rPr>
            </w:pPr>
          </w:p>
        </w:tc>
        <w:tc>
          <w:tcPr>
            <w:tcW w:w="141" w:type="pct"/>
            <w:vAlign w:val="center"/>
          </w:tcPr>
          <w:p>
            <w:pPr>
              <w:pStyle w:val="25"/>
              <w:rPr>
                <w:rFonts w:cs="Times New Roman"/>
              </w:rPr>
            </w:pPr>
          </w:p>
        </w:tc>
        <w:tc>
          <w:tcPr>
            <w:tcW w:w="1682" w:type="pct"/>
            <w:vAlign w:val="center"/>
          </w:tcPr>
          <w:p>
            <w:pPr>
              <w:pStyle w:val="25"/>
              <w:rPr>
                <w:rFonts w:cs="Times New Roman"/>
              </w:rPr>
            </w:pPr>
          </w:p>
        </w:tc>
        <w:tc>
          <w:tcPr>
            <w:tcW w:w="964" w:type="pct"/>
            <w:vAlign w:val="center"/>
          </w:tcPr>
          <w:p>
            <w:pPr>
              <w:pStyle w:val="25"/>
              <w:rPr>
                <w:rFonts w:cs="Times New Roman"/>
              </w:rPr>
            </w:pPr>
          </w:p>
        </w:tc>
        <w:tc>
          <w:tcPr>
            <w:tcW w:w="1928" w:type="pct"/>
            <w:gridSpan w:val="2"/>
            <w:vAlign w:val="center"/>
          </w:tcPr>
          <w:p>
            <w:pPr>
              <w:pStyle w:val="25"/>
              <w:jc w:val="right"/>
              <w:rPr>
                <w:rFonts w:cs="Times New Roman"/>
              </w:rPr>
            </w:pPr>
            <w:r>
              <w:rPr>
                <w:rFonts w:hint="eastAsia" w:cs="Times New Roman"/>
                <w:sz w:val="20"/>
                <w:szCs w:val="20"/>
              </w:rPr>
              <w:t xml:space="preserve">公开05表 </w:t>
            </w:r>
          </w:p>
        </w:tc>
      </w:tr>
      <w:tr>
        <w:tblPrEx>
          <w:tblCellMar>
            <w:top w:w="0" w:type="dxa"/>
            <w:left w:w="0" w:type="dxa"/>
            <w:bottom w:w="0" w:type="dxa"/>
            <w:right w:w="0" w:type="dxa"/>
          </w:tblCellMar>
        </w:tblPrEx>
        <w:trPr>
          <w:jc w:val="center"/>
        </w:trPr>
        <w:tc>
          <w:tcPr>
            <w:tcW w:w="3071" w:type="pct"/>
            <w:gridSpan w:val="5"/>
            <w:vAlign w:val="center"/>
          </w:tcPr>
          <w:p>
            <w:pPr>
              <w:pStyle w:val="25"/>
              <w:rPr>
                <w:rFonts w:cs="Times New Roman"/>
              </w:rPr>
            </w:pPr>
            <w:r>
              <w:rPr>
                <w:rFonts w:hint="eastAsia" w:cs="Times New Roman"/>
                <w:sz w:val="22"/>
                <w:szCs w:val="22"/>
              </w:rPr>
              <w:t xml:space="preserve">部门：益阳市资阳区城市管理和综合执法局 </w:t>
            </w:r>
          </w:p>
        </w:tc>
        <w:tc>
          <w:tcPr>
            <w:tcW w:w="1928" w:type="pct"/>
            <w:gridSpan w:val="2"/>
            <w:tcBorders>
              <w:top w:val="nil"/>
              <w:left w:val="nil"/>
              <w:bottom w:val="single" w:color="666666" w:sz="4" w:space="0"/>
              <w:right w:val="nil"/>
            </w:tcBorders>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107"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2892" w:type="pct"/>
            <w:gridSpan w:val="3"/>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本年支出 </w:t>
            </w:r>
          </w:p>
        </w:tc>
      </w:tr>
      <w:tr>
        <w:tblPrEx>
          <w:tblCellMar>
            <w:top w:w="0" w:type="dxa"/>
            <w:left w:w="0" w:type="dxa"/>
            <w:bottom w:w="0" w:type="dxa"/>
            <w:right w:w="0" w:type="dxa"/>
          </w:tblCellMar>
        </w:tblPrEx>
        <w:trPr>
          <w:trHeight w:val="311" w:hRule="atLeast"/>
          <w:jc w:val="center"/>
        </w:trPr>
        <w:tc>
          <w:tcPr>
            <w:tcW w:w="424" w:type="pct"/>
            <w:gridSpan w:val="3"/>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小计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项目支出 </w:t>
            </w: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rPr>
          <w:jc w:val="center"/>
        </w:trPr>
        <w:tc>
          <w:tcPr>
            <w:tcW w:w="2107"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964"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964"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964"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r>
      <w:tr>
        <w:trPr>
          <w:jc w:val="center"/>
        </w:trPr>
        <w:tc>
          <w:tcPr>
            <w:tcW w:w="2107"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701.07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701.07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社会保障和就业支出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行政事业单位养老支出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7.97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2080505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机关事业单位基本养老保险缴费支出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7.72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7.72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2080506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机关事业单位职业年金缴费支出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0.25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0.25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卫生健康支出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行政事业单位医疗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9.91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2101101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行政单位医疗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5.94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5.94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2101103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公务员医疗补助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3.97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3.97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节能环保支出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21104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自然生态保护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2110402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农村环境保护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城乡社区支出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675.40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675.40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城乡社区管理事务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539.83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539.83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2120101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行政运行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2120104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城管执法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463.83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463.83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2120199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其他城乡社区管理事务支出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75.00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75.00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21299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2129901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其他城乡社区支出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135.57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住房保障支出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22102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住房改革支出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424"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2210201 </w:t>
            </w:r>
          </w:p>
        </w:tc>
        <w:tc>
          <w:tcPr>
            <w:tcW w:w="1682"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住房公积金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5.79 </w:t>
            </w:r>
          </w:p>
        </w:tc>
        <w:tc>
          <w:tcPr>
            <w:tcW w:w="96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5000" w:type="pct"/>
            <w:gridSpan w:val="7"/>
            <w:vAlign w:val="center"/>
          </w:tcPr>
          <w:p>
            <w:pPr>
              <w:pStyle w:val="25"/>
              <w:rPr>
                <w:rFonts w:cs="Times New Roman"/>
              </w:rPr>
            </w:pPr>
            <w:r>
              <w:rPr>
                <w:rFonts w:hint="eastAsia" w:cs="Times New Roman"/>
                <w:sz w:val="22"/>
                <w:szCs w:val="22"/>
              </w:rPr>
              <w:t xml:space="preserve">注：本表反映部门本年度一般公共预算财政拨款支出情况。本表金额转换为万元时，因四舍五入可能存在尾数误差。 </w:t>
            </w:r>
          </w:p>
        </w:tc>
      </w:tr>
    </w:tbl>
    <w:p>
      <w:pPr>
        <w:pStyle w:val="25"/>
      </w:pPr>
      <w:r>
        <w:rPr>
          <w:rFonts w:hint="eastAsia"/>
        </w:rPr>
        <w:t xml:space="preserve"> </w:t>
      </w: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718"/>
        <w:gridCol w:w="3380"/>
        <w:gridCol w:w="1726"/>
        <w:gridCol w:w="719"/>
        <w:gridCol w:w="2656"/>
        <w:gridCol w:w="1726"/>
        <w:gridCol w:w="725"/>
        <w:gridCol w:w="2659"/>
        <w:gridCol w:w="1729"/>
      </w:tblGrid>
      <w:tr>
        <w:trPr>
          <w:jc w:val="center"/>
        </w:trPr>
        <w:tc>
          <w:tcPr>
            <w:tcW w:w="5000" w:type="pct"/>
            <w:gridSpan w:val="9"/>
            <w:vAlign w:val="center"/>
          </w:tcPr>
          <w:p>
            <w:pPr>
              <w:pStyle w:val="25"/>
              <w:jc w:val="center"/>
              <w:rPr>
                <w:rFonts w:cs="Times New Roman"/>
              </w:rPr>
            </w:pPr>
            <w:r>
              <w:rPr>
                <w:rFonts w:hint="eastAsia" w:cs="Times New Roman"/>
                <w:sz w:val="40"/>
                <w:szCs w:val="40"/>
              </w:rPr>
              <w:t xml:space="preserve">一般公共预算财政拨款基本支出决算表 </w:t>
            </w:r>
          </w:p>
        </w:tc>
      </w:tr>
      <w:tr>
        <w:tblPrEx>
          <w:tblCellMar>
            <w:top w:w="0" w:type="dxa"/>
            <w:left w:w="0" w:type="dxa"/>
            <w:bottom w:w="0" w:type="dxa"/>
            <w:right w:w="0" w:type="dxa"/>
          </w:tblCellMar>
        </w:tblPrEx>
        <w:trPr>
          <w:jc w:val="center"/>
        </w:trPr>
        <w:tc>
          <w:tcPr>
            <w:tcW w:w="224" w:type="pct"/>
            <w:vAlign w:val="center"/>
          </w:tcPr>
          <w:p>
            <w:pPr>
              <w:pStyle w:val="25"/>
              <w:rPr>
                <w:rFonts w:cs="Times New Roman"/>
              </w:rPr>
            </w:pPr>
          </w:p>
        </w:tc>
        <w:tc>
          <w:tcPr>
            <w:tcW w:w="1053" w:type="pct"/>
            <w:vAlign w:val="center"/>
          </w:tcPr>
          <w:p>
            <w:pPr>
              <w:pStyle w:val="25"/>
              <w:rPr>
                <w:rFonts w:cs="Times New Roman"/>
              </w:rPr>
            </w:pPr>
          </w:p>
        </w:tc>
        <w:tc>
          <w:tcPr>
            <w:tcW w:w="538" w:type="pct"/>
            <w:vAlign w:val="center"/>
          </w:tcPr>
          <w:p>
            <w:pPr>
              <w:pStyle w:val="25"/>
              <w:rPr>
                <w:rFonts w:cs="Times New Roman"/>
              </w:rPr>
            </w:pPr>
          </w:p>
        </w:tc>
        <w:tc>
          <w:tcPr>
            <w:tcW w:w="224" w:type="pct"/>
            <w:vAlign w:val="center"/>
          </w:tcPr>
          <w:p>
            <w:pPr>
              <w:pStyle w:val="25"/>
              <w:rPr>
                <w:rFonts w:cs="Times New Roman"/>
              </w:rPr>
            </w:pPr>
          </w:p>
        </w:tc>
        <w:tc>
          <w:tcPr>
            <w:tcW w:w="828" w:type="pct"/>
            <w:vAlign w:val="center"/>
          </w:tcPr>
          <w:p>
            <w:pPr>
              <w:pStyle w:val="25"/>
              <w:rPr>
                <w:rFonts w:cs="Times New Roman"/>
              </w:rPr>
            </w:pPr>
          </w:p>
        </w:tc>
        <w:tc>
          <w:tcPr>
            <w:tcW w:w="538" w:type="pct"/>
            <w:vAlign w:val="center"/>
          </w:tcPr>
          <w:p>
            <w:pPr>
              <w:pStyle w:val="25"/>
              <w:rPr>
                <w:rFonts w:cs="Times New Roman"/>
              </w:rPr>
            </w:pPr>
          </w:p>
        </w:tc>
        <w:tc>
          <w:tcPr>
            <w:tcW w:w="224" w:type="pct"/>
            <w:vAlign w:val="center"/>
          </w:tcPr>
          <w:p>
            <w:pPr>
              <w:pStyle w:val="25"/>
              <w:rPr>
                <w:rFonts w:cs="Times New Roman"/>
              </w:rPr>
            </w:pPr>
          </w:p>
        </w:tc>
        <w:tc>
          <w:tcPr>
            <w:tcW w:w="1366" w:type="pct"/>
            <w:gridSpan w:val="2"/>
            <w:vAlign w:val="center"/>
          </w:tcPr>
          <w:p>
            <w:pPr>
              <w:pStyle w:val="25"/>
              <w:jc w:val="right"/>
              <w:rPr>
                <w:rFonts w:cs="Times New Roman"/>
              </w:rPr>
            </w:pPr>
            <w:r>
              <w:rPr>
                <w:rFonts w:hint="eastAsia" w:cs="Times New Roman"/>
                <w:sz w:val="18"/>
                <w:szCs w:val="18"/>
              </w:rPr>
              <w:t xml:space="preserve">公开06表 </w:t>
            </w:r>
          </w:p>
        </w:tc>
      </w:tr>
      <w:tr>
        <w:tblPrEx>
          <w:tblCellMar>
            <w:top w:w="0" w:type="dxa"/>
            <w:left w:w="0" w:type="dxa"/>
            <w:bottom w:w="0" w:type="dxa"/>
            <w:right w:w="0" w:type="dxa"/>
          </w:tblCellMar>
        </w:tblPrEx>
        <w:trPr>
          <w:jc w:val="center"/>
        </w:trPr>
        <w:tc>
          <w:tcPr>
            <w:tcW w:w="3632" w:type="pct"/>
            <w:gridSpan w:val="7"/>
            <w:vAlign w:val="center"/>
          </w:tcPr>
          <w:p>
            <w:pPr>
              <w:pStyle w:val="25"/>
              <w:rPr>
                <w:rFonts w:cs="Times New Roman"/>
              </w:rPr>
            </w:pPr>
            <w:r>
              <w:rPr>
                <w:rFonts w:hint="eastAsia" w:cs="Times New Roman"/>
                <w:sz w:val="22"/>
                <w:szCs w:val="22"/>
              </w:rPr>
              <w:t xml:space="preserve">部门：益阳市资阳区城市管理和综合执法局 </w:t>
            </w:r>
          </w:p>
        </w:tc>
        <w:tc>
          <w:tcPr>
            <w:tcW w:w="1366" w:type="pct"/>
            <w:gridSpan w:val="2"/>
            <w:tcBorders>
              <w:top w:val="nil"/>
              <w:left w:val="nil"/>
              <w:bottom w:val="single" w:color="666666" w:sz="4" w:space="0"/>
              <w:right w:val="nil"/>
            </w:tcBorders>
            <w:vAlign w:val="center"/>
          </w:tcPr>
          <w:p>
            <w:pPr>
              <w:pStyle w:val="25"/>
              <w:jc w:val="right"/>
              <w:rPr>
                <w:rFonts w:cs="Times New Roman"/>
              </w:rPr>
            </w:pPr>
            <w:r>
              <w:rPr>
                <w:rFonts w:hint="eastAsia" w:cs="Times New Roman"/>
                <w:sz w:val="18"/>
                <w:szCs w:val="18"/>
              </w:rPr>
              <w:t xml:space="preserve">金额单位：万元 </w:t>
            </w:r>
          </w:p>
        </w:tc>
      </w:tr>
      <w:tr>
        <w:tblPrEx>
          <w:tblCellMar>
            <w:top w:w="0" w:type="dxa"/>
            <w:left w:w="0" w:type="dxa"/>
            <w:bottom w:w="0" w:type="dxa"/>
            <w:right w:w="0" w:type="dxa"/>
          </w:tblCellMar>
        </w:tblPrEx>
        <w:trPr>
          <w:jc w:val="center"/>
        </w:trPr>
        <w:tc>
          <w:tcPr>
            <w:tcW w:w="1816" w:type="pct"/>
            <w:gridSpan w:val="3"/>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人员经费 </w:t>
            </w:r>
          </w:p>
        </w:tc>
        <w:tc>
          <w:tcPr>
            <w:tcW w:w="3182" w:type="pct"/>
            <w:gridSpan w:val="6"/>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公用经费 </w:t>
            </w:r>
          </w:p>
        </w:tc>
      </w:tr>
      <w:tr>
        <w:tblPrEx>
          <w:tblCellMar>
            <w:top w:w="0" w:type="dxa"/>
            <w:left w:w="0" w:type="dxa"/>
            <w:bottom w:w="0" w:type="dxa"/>
            <w:right w:w="0" w:type="dxa"/>
          </w:tblCellMar>
        </w:tblPrEx>
        <w:trPr>
          <w:trHeight w:val="311" w:hRule="atLeast"/>
          <w:jc w:val="center"/>
        </w:trPr>
        <w:tc>
          <w:tcPr>
            <w:tcW w:w="0" w:type="pct"/>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科目编码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决算数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科目编码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决算数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科目编码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决算数 </w:t>
            </w:r>
          </w:p>
        </w:tc>
      </w:tr>
      <w:tr>
        <w:tblPrEx>
          <w:tblCellMar>
            <w:top w:w="0" w:type="dxa"/>
            <w:left w:w="0" w:type="dxa"/>
            <w:bottom w:w="0" w:type="dxa"/>
            <w:right w:w="0" w:type="dxa"/>
          </w:tblCellMar>
        </w:tblPrEx>
        <w:trPr>
          <w:trHeight w:val="311" w:hRule="atLeast"/>
          <w:jc w:val="center"/>
        </w:trPr>
        <w:tc>
          <w:tcPr>
            <w:tcW w:w="0" w:type="auto"/>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301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工资福利支出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522.58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302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商品和服务支出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171.94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307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债务利息及费用支出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blPrEx>
          <w:tblCellMar>
            <w:top w:w="0" w:type="dxa"/>
            <w:left w:w="0" w:type="dxa"/>
            <w:bottom w:w="0" w:type="dxa"/>
            <w:right w:w="0" w:type="dxa"/>
          </w:tblCellMar>
        </w:tblPrEx>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30101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基本工资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170.60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30201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办公费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2.93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30701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国内债务付息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30102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津贴补贴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26.01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30202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印刷费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3.67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30702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国外债务付息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30103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奖金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67.14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30203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咨询费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2.40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310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资本性支出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4.04 </w:t>
            </w: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30106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伙食补助费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19.86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30204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手续费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31001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房屋建筑物购建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30107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绩效工资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81.55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30205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水费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0.18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31002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办公设备购置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4.04 </w:t>
            </w: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30108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机关事业单位基本养老保险缴费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34.41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30206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电费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31003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专用设备购置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30109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职业年金缴费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13.95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30207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邮电费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0.29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31005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基础设施建设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30110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职工基本医疗保险缴费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20.18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30208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取暖费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31006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大型修缮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30111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公务员医疗补助缴费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11.08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30209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物业管理费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31007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信息网络及软件购置更新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30112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其他社会保障缴费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2.43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30211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差旅费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31008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物资储备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30113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住房公积金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68.26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30212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因公出国（境）费用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31009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土地补偿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30114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医疗费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3.21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30213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维修（护）费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8.15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31010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安置补助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30199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其他工资福利支出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3.89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30214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租赁费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0.13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31011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地上附着物和青苗补偿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303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对个人和家庭的补助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2.51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30215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会议费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31012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拆迁补偿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30301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离休费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30216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培训费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0.10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31013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公务用车购置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30302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退休费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30217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公务接待费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31019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其他交通工具购置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30303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退职（役）费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30218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专用材料费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3.29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31021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文物和陈列品购置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30304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抚恤金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30224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被装购置费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31022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无形资产购置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30305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生活补助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1.77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30225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专用燃料费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31099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其他资本性支出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30306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救济费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30226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劳务费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13.58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399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b/>
                <w:bCs/>
                <w:sz w:val="22"/>
                <w:szCs w:val="22"/>
              </w:rPr>
              <w:t xml:space="preserve">其他支出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30307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医疗费补助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30227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委托业务费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124.43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39906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赠与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30308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助学金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30228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工会经费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1.29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39907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国家赔偿费用支出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30309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奖励金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0.72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30229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福利费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39908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对民间非营利组织和群众性自治组织补贴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30310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个人农业生产补贴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30231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公务用车运行维护费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39999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30311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代缴社会保险费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30239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其他交通费用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7.51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30399 </w:t>
            </w: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其他对个人和家庭的补助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0.02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30240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税金及附加费用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224" w:type="pct"/>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053"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30299 </w:t>
            </w: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其他商品和服务支出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2.00 </w:t>
            </w:r>
          </w:p>
        </w:tc>
        <w:tc>
          <w:tcPr>
            <w:tcW w:w="224"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2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1278" w:type="pct"/>
            <w:gridSpan w:val="2"/>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人员经费合计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525.09 </w:t>
            </w:r>
          </w:p>
        </w:tc>
        <w:tc>
          <w:tcPr>
            <w:tcW w:w="2645" w:type="pct"/>
            <w:gridSpan w:val="5"/>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b/>
                <w:bCs/>
                <w:sz w:val="22"/>
                <w:szCs w:val="22"/>
              </w:rPr>
              <w:t xml:space="preserve">公用经费合计 </w:t>
            </w:r>
          </w:p>
        </w:tc>
        <w:tc>
          <w:tcPr>
            <w:tcW w:w="53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175.98 </w:t>
            </w:r>
          </w:p>
        </w:tc>
      </w:tr>
      <w:tr>
        <w:trPr>
          <w:jc w:val="center"/>
        </w:trPr>
        <w:tc>
          <w:tcPr>
            <w:tcW w:w="5000" w:type="pct"/>
            <w:gridSpan w:val="9"/>
            <w:vAlign w:val="center"/>
          </w:tcPr>
          <w:p>
            <w:pPr>
              <w:pStyle w:val="25"/>
              <w:rPr>
                <w:rFonts w:cs="Times New Roman"/>
              </w:rPr>
            </w:pPr>
            <w:r>
              <w:rPr>
                <w:rFonts w:hint="eastAsia" w:cs="Times New Roman"/>
                <w:sz w:val="22"/>
                <w:szCs w:val="22"/>
              </w:rPr>
              <w:t xml:space="preserve">注：本表反映部门本年度一般公共预算财政拨款基本支出明细情况。本表金额转换为万元时，因四舍五入可能存在尾数误差。 </w:t>
            </w:r>
          </w:p>
        </w:tc>
      </w:tr>
    </w:tbl>
    <w:p>
      <w:pPr>
        <w:pStyle w:val="25"/>
      </w:pPr>
      <w:r>
        <w:rPr>
          <w:rFonts w:hint="eastAsia"/>
        </w:rPr>
        <w:t xml:space="preserve"> </w:t>
      </w:r>
    </w:p>
    <w:p>
      <w:pPr>
        <w:pStyle w:val="25"/>
      </w:pPr>
    </w:p>
    <w:p>
      <w:pPr>
        <w:pStyle w:val="25"/>
      </w:pPr>
    </w:p>
    <w:p>
      <w:pPr>
        <w:pStyle w:val="25"/>
      </w:pPr>
    </w:p>
    <w:p>
      <w:pPr>
        <w:pStyle w:val="25"/>
      </w:pPr>
    </w:p>
    <w:p>
      <w:pPr>
        <w:pStyle w:val="25"/>
      </w:pPr>
    </w:p>
    <w:p>
      <w:pPr>
        <w:pStyle w:val="25"/>
      </w:pPr>
    </w:p>
    <w:p>
      <w:pPr>
        <w:pStyle w:val="25"/>
      </w:pPr>
    </w:p>
    <w:p>
      <w:pPr>
        <w:pStyle w:val="25"/>
      </w:pP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1334"/>
        <w:gridCol w:w="1334"/>
        <w:gridCol w:w="1334"/>
        <w:gridCol w:w="1334"/>
        <w:gridCol w:w="1341"/>
        <w:gridCol w:w="1347"/>
        <w:gridCol w:w="1334"/>
        <w:gridCol w:w="1334"/>
        <w:gridCol w:w="1334"/>
        <w:gridCol w:w="1342"/>
        <w:gridCol w:w="1335"/>
        <w:gridCol w:w="1335"/>
      </w:tblGrid>
      <w:tr>
        <w:trPr>
          <w:jc w:val="center"/>
        </w:trPr>
        <w:tc>
          <w:tcPr>
            <w:tcW w:w="5000" w:type="pct"/>
            <w:gridSpan w:val="12"/>
            <w:vAlign w:val="center"/>
          </w:tcPr>
          <w:p>
            <w:pPr>
              <w:pStyle w:val="25"/>
              <w:jc w:val="center"/>
              <w:rPr>
                <w:rFonts w:cs="Times New Roman"/>
              </w:rPr>
            </w:pPr>
            <w:r>
              <w:rPr>
                <w:rFonts w:hint="eastAsia" w:cs="Times New Roman"/>
                <w:sz w:val="40"/>
                <w:szCs w:val="40"/>
              </w:rPr>
              <w:t xml:space="preserve">一般公共预算财政拨款“三公”经费支出决算表 </w:t>
            </w:r>
          </w:p>
        </w:tc>
      </w:tr>
      <w:tr>
        <w:tblPrEx>
          <w:tblCellMar>
            <w:top w:w="0" w:type="dxa"/>
            <w:left w:w="0" w:type="dxa"/>
            <w:bottom w:w="0" w:type="dxa"/>
            <w:right w:w="0" w:type="dxa"/>
          </w:tblCellMar>
        </w:tblPrEx>
        <w:trPr>
          <w:jc w:val="center"/>
        </w:trPr>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416" w:type="pct"/>
            <w:vAlign w:val="center"/>
          </w:tcPr>
          <w:p>
            <w:pPr>
              <w:pStyle w:val="25"/>
              <w:rPr>
                <w:rFonts w:cs="Times New Roman"/>
              </w:rPr>
            </w:pPr>
          </w:p>
        </w:tc>
        <w:tc>
          <w:tcPr>
            <w:tcW w:w="833" w:type="pct"/>
            <w:gridSpan w:val="2"/>
            <w:vAlign w:val="center"/>
          </w:tcPr>
          <w:p>
            <w:pPr>
              <w:pStyle w:val="25"/>
              <w:jc w:val="right"/>
              <w:rPr>
                <w:rFonts w:cs="Times New Roman"/>
              </w:rPr>
            </w:pPr>
            <w:r>
              <w:rPr>
                <w:rFonts w:hint="eastAsia" w:cs="Times New Roman"/>
                <w:sz w:val="20"/>
                <w:szCs w:val="20"/>
              </w:rPr>
              <w:t xml:space="preserve">公开07表 </w:t>
            </w:r>
          </w:p>
        </w:tc>
      </w:tr>
      <w:tr>
        <w:tblPrEx>
          <w:tblCellMar>
            <w:top w:w="0" w:type="dxa"/>
            <w:left w:w="0" w:type="dxa"/>
            <w:bottom w:w="0" w:type="dxa"/>
            <w:right w:w="0" w:type="dxa"/>
          </w:tblCellMar>
        </w:tblPrEx>
        <w:trPr>
          <w:jc w:val="center"/>
        </w:trPr>
        <w:tc>
          <w:tcPr>
            <w:tcW w:w="4166" w:type="pct"/>
            <w:gridSpan w:val="10"/>
            <w:vAlign w:val="center"/>
          </w:tcPr>
          <w:p>
            <w:pPr>
              <w:pStyle w:val="25"/>
              <w:rPr>
                <w:rFonts w:cs="Times New Roman"/>
              </w:rPr>
            </w:pPr>
            <w:r>
              <w:rPr>
                <w:rFonts w:hint="eastAsia" w:cs="Times New Roman"/>
                <w:sz w:val="22"/>
                <w:szCs w:val="22"/>
              </w:rPr>
              <w:t xml:space="preserve">部门：益阳市资阳区城市管理和综合执法局 </w:t>
            </w:r>
          </w:p>
        </w:tc>
        <w:tc>
          <w:tcPr>
            <w:tcW w:w="833" w:type="pct"/>
            <w:gridSpan w:val="2"/>
            <w:tcBorders>
              <w:top w:val="nil"/>
              <w:left w:val="nil"/>
              <w:bottom w:val="single" w:color="666666" w:sz="4" w:space="0"/>
              <w:right w:val="nil"/>
            </w:tcBorders>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500" w:type="pct"/>
            <w:gridSpan w:val="6"/>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预算数 </w:t>
            </w:r>
          </w:p>
        </w:tc>
        <w:tc>
          <w:tcPr>
            <w:tcW w:w="2500" w:type="pct"/>
            <w:gridSpan w:val="6"/>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决算数 </w:t>
            </w:r>
          </w:p>
        </w:tc>
      </w:tr>
      <w:tr>
        <w:tblPrEx>
          <w:tblCellMar>
            <w:top w:w="0" w:type="dxa"/>
            <w:left w:w="0" w:type="dxa"/>
            <w:bottom w:w="0" w:type="dxa"/>
            <w:right w:w="0" w:type="dxa"/>
          </w:tblCellMar>
        </w:tblPrEx>
        <w:trPr>
          <w:jc w:val="center"/>
        </w:trPr>
        <w:tc>
          <w:tcPr>
            <w:tcW w:w="0" w:type="pct"/>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因公出国（境）费 </w:t>
            </w:r>
          </w:p>
        </w:tc>
        <w:tc>
          <w:tcPr>
            <w:tcW w:w="1250" w:type="pct"/>
            <w:gridSpan w:val="3"/>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公务用车购置及运行费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公务接待费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因公出国（境）费 </w:t>
            </w:r>
          </w:p>
        </w:tc>
        <w:tc>
          <w:tcPr>
            <w:tcW w:w="1250" w:type="pct"/>
            <w:gridSpan w:val="3"/>
            <w:tcBorders>
              <w:top w:val="single" w:color="666666" w:sz="4" w:space="0"/>
              <w:left w:val="nil"/>
              <w:bottom w:val="nil"/>
              <w:right w:val="single" w:color="666666" w:sz="4" w:space="0"/>
            </w:tcBorders>
            <w:vAlign w:val="center"/>
          </w:tcPr>
          <w:p>
            <w:pPr>
              <w:pStyle w:val="25"/>
              <w:jc w:val="center"/>
              <w:rPr>
                <w:rFonts w:cs="Times New Roman"/>
              </w:rPr>
            </w:pPr>
            <w:r>
              <w:rPr>
                <w:rFonts w:hint="eastAsia" w:cs="Times New Roman"/>
                <w:sz w:val="22"/>
                <w:szCs w:val="22"/>
              </w:rPr>
              <w:t xml:space="preserve">公务用车购置及运行费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公务接待费 </w:t>
            </w:r>
          </w:p>
        </w:tc>
      </w:tr>
      <w:tr>
        <w:trPr>
          <w:jc w:val="center"/>
        </w:trPr>
        <w:tc>
          <w:tcPr>
            <w:tcW w:w="0" w:type="auto"/>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小计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公务用车购置费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公务用车运行费 </w:t>
            </w: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小计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公务用车购置费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公务用车运行费 </w:t>
            </w: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rPr>
          <w:jc w:val="center"/>
        </w:trPr>
        <w:tc>
          <w:tcPr>
            <w:tcW w:w="416" w:type="pct"/>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7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8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9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10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11 </w:t>
            </w:r>
          </w:p>
        </w:tc>
        <w:tc>
          <w:tcPr>
            <w:tcW w:w="416"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12 </w:t>
            </w:r>
          </w:p>
        </w:tc>
      </w:tr>
      <w:tr>
        <w:trPr>
          <w:jc w:val="center"/>
        </w:trPr>
        <w:tc>
          <w:tcPr>
            <w:tcW w:w="416" w:type="pct"/>
            <w:tcBorders>
              <w:top w:val="single" w:color="666666" w:sz="4" w:space="0"/>
              <w:left w:val="single" w:color="666666" w:sz="4" w:space="0"/>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416"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5000" w:type="pct"/>
            <w:gridSpan w:val="12"/>
            <w:vAlign w:val="center"/>
          </w:tcPr>
          <w:p>
            <w:pPr>
              <w:pStyle w:val="25"/>
              <w:rPr>
                <w:rFonts w:cs="Times New Roman"/>
              </w:rPr>
            </w:pPr>
            <w:r>
              <w:rPr>
                <w:rFonts w:hint="eastAsia" w:cs="Times New Roman"/>
                <w:sz w:val="22"/>
                <w:szCs w:val="22"/>
              </w:rPr>
              <w:t xml:space="preserve">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 </w:t>
            </w:r>
          </w:p>
        </w:tc>
      </w:tr>
    </w:tbl>
    <w:p>
      <w:pPr>
        <w:pStyle w:val="25"/>
      </w:pPr>
      <w:r>
        <w:rPr>
          <w:rFonts w:hint="eastAsia"/>
        </w:rPr>
        <w:t xml:space="preserve"> </w:t>
      </w:r>
    </w:p>
    <w:p>
      <w:pPr>
        <w:pStyle w:val="25"/>
      </w:pPr>
    </w:p>
    <w:p>
      <w:pPr>
        <w:pStyle w:val="25"/>
      </w:pPr>
    </w:p>
    <w:p>
      <w:pPr>
        <w:pStyle w:val="25"/>
      </w:pPr>
    </w:p>
    <w:p>
      <w:pPr>
        <w:pStyle w:val="25"/>
      </w:pPr>
    </w:p>
    <w:p>
      <w:pPr>
        <w:pStyle w:val="25"/>
      </w:pPr>
    </w:p>
    <w:p>
      <w:pPr>
        <w:pStyle w:val="25"/>
      </w:pPr>
    </w:p>
    <w:p>
      <w:pPr>
        <w:pStyle w:val="25"/>
      </w:pPr>
    </w:p>
    <w:p>
      <w:pPr>
        <w:pStyle w:val="25"/>
      </w:pP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333"/>
        <w:gridCol w:w="334"/>
        <w:gridCol w:w="334"/>
        <w:gridCol w:w="3458"/>
        <w:gridCol w:w="1180"/>
        <w:gridCol w:w="1969"/>
        <w:gridCol w:w="1075"/>
        <w:gridCol w:w="1524"/>
        <w:gridCol w:w="1517"/>
        <w:gridCol w:w="4314"/>
      </w:tblGrid>
      <w:tr>
        <w:trPr>
          <w:jc w:val="center"/>
        </w:trPr>
        <w:tc>
          <w:tcPr>
            <w:tcW w:w="5000" w:type="pct"/>
            <w:gridSpan w:val="10"/>
            <w:vAlign w:val="center"/>
          </w:tcPr>
          <w:p>
            <w:pPr>
              <w:pStyle w:val="25"/>
              <w:jc w:val="center"/>
              <w:rPr>
                <w:rFonts w:cs="Times New Roman"/>
              </w:rPr>
            </w:pPr>
            <w:r>
              <w:rPr>
                <w:rFonts w:hint="eastAsia" w:cs="Times New Roman"/>
                <w:sz w:val="40"/>
                <w:szCs w:val="40"/>
              </w:rPr>
              <w:t xml:space="preserve">政府性基金预算财政拨款收入支出决算表 </w:t>
            </w:r>
          </w:p>
        </w:tc>
      </w:tr>
      <w:tr>
        <w:tblPrEx>
          <w:tblCellMar>
            <w:top w:w="0" w:type="dxa"/>
            <w:left w:w="0" w:type="dxa"/>
            <w:bottom w:w="0" w:type="dxa"/>
            <w:right w:w="0" w:type="dxa"/>
          </w:tblCellMar>
        </w:tblPrEx>
        <w:trPr>
          <w:jc w:val="center"/>
        </w:trPr>
        <w:tc>
          <w:tcPr>
            <w:tcW w:w="104" w:type="pct"/>
            <w:vAlign w:val="center"/>
          </w:tcPr>
          <w:p>
            <w:pPr>
              <w:pStyle w:val="25"/>
              <w:rPr>
                <w:rFonts w:cs="Times New Roman"/>
              </w:rPr>
            </w:pPr>
          </w:p>
        </w:tc>
        <w:tc>
          <w:tcPr>
            <w:tcW w:w="104" w:type="pct"/>
            <w:vAlign w:val="center"/>
          </w:tcPr>
          <w:p>
            <w:pPr>
              <w:pStyle w:val="25"/>
              <w:rPr>
                <w:rFonts w:cs="Times New Roman"/>
              </w:rPr>
            </w:pPr>
          </w:p>
        </w:tc>
        <w:tc>
          <w:tcPr>
            <w:tcW w:w="104" w:type="pct"/>
            <w:vAlign w:val="center"/>
          </w:tcPr>
          <w:p>
            <w:pPr>
              <w:pStyle w:val="25"/>
              <w:rPr>
                <w:rFonts w:cs="Times New Roman"/>
              </w:rPr>
            </w:pPr>
          </w:p>
        </w:tc>
        <w:tc>
          <w:tcPr>
            <w:tcW w:w="1078" w:type="pct"/>
            <w:vAlign w:val="center"/>
          </w:tcPr>
          <w:p>
            <w:pPr>
              <w:pStyle w:val="25"/>
              <w:rPr>
                <w:rFonts w:cs="Times New Roman"/>
              </w:rPr>
            </w:pPr>
          </w:p>
        </w:tc>
        <w:tc>
          <w:tcPr>
            <w:tcW w:w="368" w:type="pct"/>
            <w:vAlign w:val="center"/>
          </w:tcPr>
          <w:p>
            <w:pPr>
              <w:pStyle w:val="25"/>
              <w:rPr>
                <w:rFonts w:cs="Times New Roman"/>
              </w:rPr>
            </w:pPr>
          </w:p>
        </w:tc>
        <w:tc>
          <w:tcPr>
            <w:tcW w:w="614" w:type="pct"/>
            <w:vAlign w:val="center"/>
          </w:tcPr>
          <w:p>
            <w:pPr>
              <w:pStyle w:val="25"/>
              <w:rPr>
                <w:rFonts w:cs="Times New Roman"/>
              </w:rPr>
            </w:pPr>
          </w:p>
        </w:tc>
        <w:tc>
          <w:tcPr>
            <w:tcW w:w="335" w:type="pct"/>
            <w:vAlign w:val="center"/>
          </w:tcPr>
          <w:p>
            <w:pPr>
              <w:pStyle w:val="25"/>
              <w:rPr>
                <w:rFonts w:cs="Times New Roman"/>
              </w:rPr>
            </w:pPr>
          </w:p>
        </w:tc>
        <w:tc>
          <w:tcPr>
            <w:tcW w:w="473" w:type="pct"/>
            <w:vAlign w:val="center"/>
          </w:tcPr>
          <w:p>
            <w:pPr>
              <w:pStyle w:val="25"/>
              <w:rPr>
                <w:rFonts w:cs="Times New Roman"/>
              </w:rPr>
            </w:pPr>
          </w:p>
        </w:tc>
        <w:tc>
          <w:tcPr>
            <w:tcW w:w="1816" w:type="pct"/>
            <w:gridSpan w:val="2"/>
            <w:vAlign w:val="center"/>
          </w:tcPr>
          <w:p>
            <w:pPr>
              <w:pStyle w:val="25"/>
              <w:jc w:val="right"/>
              <w:rPr>
                <w:rFonts w:cs="Times New Roman"/>
              </w:rPr>
            </w:pPr>
            <w:r>
              <w:rPr>
                <w:rFonts w:hint="eastAsia" w:cs="Times New Roman"/>
                <w:sz w:val="20"/>
                <w:szCs w:val="20"/>
              </w:rPr>
              <w:t xml:space="preserve">公开08表 </w:t>
            </w:r>
          </w:p>
        </w:tc>
      </w:tr>
      <w:tr>
        <w:tblPrEx>
          <w:tblCellMar>
            <w:top w:w="0" w:type="dxa"/>
            <w:left w:w="0" w:type="dxa"/>
            <w:bottom w:w="0" w:type="dxa"/>
            <w:right w:w="0" w:type="dxa"/>
          </w:tblCellMar>
        </w:tblPrEx>
        <w:trPr>
          <w:jc w:val="center"/>
        </w:trPr>
        <w:tc>
          <w:tcPr>
            <w:tcW w:w="3182" w:type="pct"/>
            <w:gridSpan w:val="8"/>
            <w:vAlign w:val="center"/>
          </w:tcPr>
          <w:p>
            <w:pPr>
              <w:pStyle w:val="25"/>
              <w:rPr>
                <w:rFonts w:cs="Times New Roman"/>
              </w:rPr>
            </w:pPr>
            <w:r>
              <w:rPr>
                <w:rFonts w:hint="eastAsia" w:cs="Times New Roman"/>
                <w:sz w:val="22"/>
                <w:szCs w:val="22"/>
              </w:rPr>
              <w:t xml:space="preserve">部门：益阳市资阳区城市管理和综合执法局 </w:t>
            </w:r>
          </w:p>
        </w:tc>
        <w:tc>
          <w:tcPr>
            <w:tcW w:w="1816" w:type="pct"/>
            <w:gridSpan w:val="2"/>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1390"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年初结转和结余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本年收入 </w:t>
            </w:r>
          </w:p>
        </w:tc>
        <w:tc>
          <w:tcPr>
            <w:tcW w:w="1281" w:type="pct"/>
            <w:gridSpan w:val="3"/>
            <w:tcBorders>
              <w:top w:val="single" w:color="666666" w:sz="4" w:space="0"/>
              <w:left w:val="nil"/>
              <w:bottom w:val="nil"/>
              <w:right w:val="single" w:color="666666" w:sz="4" w:space="0"/>
            </w:tcBorders>
            <w:vAlign w:val="center"/>
          </w:tcPr>
          <w:p>
            <w:pPr>
              <w:pStyle w:val="25"/>
              <w:jc w:val="center"/>
              <w:rPr>
                <w:rFonts w:cs="Times New Roman"/>
              </w:rPr>
            </w:pPr>
            <w:r>
              <w:rPr>
                <w:rFonts w:hint="eastAsia" w:cs="Times New Roman"/>
                <w:sz w:val="22"/>
                <w:szCs w:val="22"/>
              </w:rPr>
              <w:t xml:space="preserve">本年支出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年末结转和结余 </w:t>
            </w:r>
          </w:p>
        </w:tc>
      </w:tr>
      <w:tr>
        <w:tblPrEx>
          <w:tblCellMar>
            <w:top w:w="0" w:type="dxa"/>
            <w:left w:w="0" w:type="dxa"/>
            <w:bottom w:w="0" w:type="dxa"/>
            <w:right w:w="0" w:type="dxa"/>
          </w:tblCellMar>
        </w:tblPrEx>
        <w:trPr>
          <w:trHeight w:val="311" w:hRule="atLeast"/>
          <w:jc w:val="center"/>
        </w:trPr>
        <w:tc>
          <w:tcPr>
            <w:tcW w:w="312" w:type="pct"/>
            <w:gridSpan w:val="3"/>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小计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项目支出 </w:t>
            </w: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rPr>
          <w:jc w:val="center"/>
        </w:trPr>
        <w:tc>
          <w:tcPr>
            <w:tcW w:w="1390"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368"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614"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335"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c>
          <w:tcPr>
            <w:tcW w:w="473"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4 </w:t>
            </w:r>
          </w:p>
        </w:tc>
        <w:tc>
          <w:tcPr>
            <w:tcW w:w="473"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5 </w:t>
            </w:r>
          </w:p>
        </w:tc>
        <w:tc>
          <w:tcPr>
            <w:tcW w:w="1343"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6 </w:t>
            </w:r>
          </w:p>
        </w:tc>
      </w:tr>
      <w:tr>
        <w:trPr>
          <w:jc w:val="center"/>
        </w:trPr>
        <w:tc>
          <w:tcPr>
            <w:tcW w:w="1390"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11.50 </w:t>
            </w: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b/>
                <w:bCs/>
                <w:sz w:val="22"/>
                <w:szCs w:val="22"/>
              </w:rPr>
              <w:t xml:space="preserve">0.00 </w:t>
            </w: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 </w:t>
            </w: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城乡社区支出 </w:t>
            </w: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21213 </w:t>
            </w: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城市基础设施配套费安排的支出 </w:t>
            </w: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2121399 </w:t>
            </w: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r>
              <w:rPr>
                <w:rFonts w:hint="eastAsia" w:cs="Times New Roman"/>
                <w:sz w:val="22"/>
                <w:szCs w:val="22"/>
              </w:rPr>
              <w:t xml:space="preserve">其他城市基础设施配套费安排的支出 </w:t>
            </w: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11.50 </w:t>
            </w: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r>
              <w:rPr>
                <w:rFonts w:hint="eastAsia" w:cs="Times New Roman"/>
                <w:sz w:val="22"/>
                <w:szCs w:val="22"/>
              </w:rPr>
              <w:t xml:space="preserve">0.00 </w:t>
            </w: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312"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078"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368"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614"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335"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47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13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5000" w:type="pct"/>
            <w:gridSpan w:val="10"/>
            <w:vAlign w:val="center"/>
          </w:tcPr>
          <w:p>
            <w:pPr>
              <w:pStyle w:val="25"/>
              <w:rPr>
                <w:rFonts w:cs="Times New Roman"/>
              </w:rPr>
            </w:pPr>
            <w:r>
              <w:rPr>
                <w:rFonts w:hint="eastAsia" w:cs="Times New Roman"/>
                <w:sz w:val="22"/>
                <w:szCs w:val="22"/>
              </w:rPr>
              <w:t xml:space="preserve">注：本表反映部门本年度政府性基金预算财政拨款收入、支出及结转和结余情况。本表金额转换为万元时，因四舍五入可能存在尾数误差。 </w:t>
            </w:r>
          </w:p>
        </w:tc>
      </w:tr>
    </w:tbl>
    <w:p>
      <w:pPr>
        <w:pStyle w:val="25"/>
      </w:pPr>
      <w:r>
        <w:rPr>
          <w:rFonts w:hint="eastAsia"/>
        </w:rPr>
        <w:t xml:space="preserve"> </w:t>
      </w:r>
    </w:p>
    <w:p>
      <w:pPr>
        <w:pStyle w:val="25"/>
      </w:pPr>
    </w:p>
    <w:p>
      <w:pPr>
        <w:pStyle w:val="25"/>
      </w:pPr>
    </w:p>
    <w:p>
      <w:pPr>
        <w:pStyle w:val="25"/>
      </w:pPr>
    </w:p>
    <w:p>
      <w:pPr>
        <w:pStyle w:val="25"/>
      </w:pPr>
    </w:p>
    <w:p>
      <w:pPr>
        <w:pStyle w:val="25"/>
      </w:pPr>
    </w:p>
    <w:p>
      <w:pPr>
        <w:spacing w:after="1"/>
        <w:jc w:val="center"/>
      </w:pPr>
      <w:r>
        <w:rPr>
          <w:rFonts w:hint="eastAsia"/>
        </w:rPr>
        <w:t xml:space="preserve"> </w:t>
      </w:r>
    </w:p>
    <w:tbl>
      <w:tblPr>
        <w:tblStyle w:val="12"/>
        <w:tblW w:w="5000" w:type="pct"/>
        <w:jc w:val="center"/>
        <w:tblLayout w:type="autofit"/>
        <w:tblCellMar>
          <w:top w:w="0" w:type="dxa"/>
          <w:left w:w="0" w:type="dxa"/>
          <w:bottom w:w="0" w:type="dxa"/>
          <w:right w:w="0" w:type="dxa"/>
        </w:tblCellMar>
      </w:tblPr>
      <w:tblGrid>
        <w:gridCol w:w="529"/>
        <w:gridCol w:w="529"/>
        <w:gridCol w:w="532"/>
        <w:gridCol w:w="6329"/>
        <w:gridCol w:w="2707"/>
        <w:gridCol w:w="2704"/>
        <w:gridCol w:w="2708"/>
      </w:tblGrid>
      <w:tr>
        <w:trPr>
          <w:jc w:val="center"/>
        </w:trPr>
        <w:tc>
          <w:tcPr>
            <w:tcW w:w="5000" w:type="pct"/>
            <w:gridSpan w:val="7"/>
            <w:vAlign w:val="center"/>
          </w:tcPr>
          <w:p>
            <w:pPr>
              <w:pStyle w:val="25"/>
              <w:jc w:val="center"/>
              <w:rPr>
                <w:rFonts w:cs="Times New Roman"/>
              </w:rPr>
            </w:pPr>
            <w:r>
              <w:rPr>
                <w:rFonts w:hint="eastAsia" w:cs="Times New Roman"/>
                <w:sz w:val="40"/>
                <w:szCs w:val="40"/>
              </w:rPr>
              <w:t xml:space="preserve">国有资本经营预算财政拨款支出决算表 </w:t>
            </w:r>
          </w:p>
        </w:tc>
      </w:tr>
      <w:tr>
        <w:tblPrEx>
          <w:tblCellMar>
            <w:top w:w="0" w:type="dxa"/>
            <w:left w:w="0" w:type="dxa"/>
            <w:bottom w:w="0" w:type="dxa"/>
            <w:right w:w="0" w:type="dxa"/>
          </w:tblCellMar>
        </w:tblPrEx>
        <w:trPr>
          <w:jc w:val="center"/>
        </w:trPr>
        <w:tc>
          <w:tcPr>
            <w:tcW w:w="165" w:type="pct"/>
            <w:vAlign w:val="center"/>
          </w:tcPr>
          <w:p>
            <w:pPr>
              <w:pStyle w:val="25"/>
              <w:rPr>
                <w:rFonts w:cs="Times New Roman"/>
              </w:rPr>
            </w:pPr>
          </w:p>
        </w:tc>
        <w:tc>
          <w:tcPr>
            <w:tcW w:w="165" w:type="pct"/>
            <w:vAlign w:val="center"/>
          </w:tcPr>
          <w:p>
            <w:pPr>
              <w:pStyle w:val="25"/>
              <w:rPr>
                <w:rFonts w:cs="Times New Roman"/>
              </w:rPr>
            </w:pPr>
          </w:p>
        </w:tc>
        <w:tc>
          <w:tcPr>
            <w:tcW w:w="165" w:type="pct"/>
            <w:vAlign w:val="center"/>
          </w:tcPr>
          <w:p>
            <w:pPr>
              <w:pStyle w:val="25"/>
              <w:rPr>
                <w:rFonts w:cs="Times New Roman"/>
              </w:rPr>
            </w:pPr>
          </w:p>
        </w:tc>
        <w:tc>
          <w:tcPr>
            <w:tcW w:w="1971" w:type="pct"/>
            <w:vAlign w:val="center"/>
          </w:tcPr>
          <w:p>
            <w:pPr>
              <w:pStyle w:val="25"/>
              <w:rPr>
                <w:rFonts w:cs="Times New Roman"/>
              </w:rPr>
            </w:pPr>
          </w:p>
        </w:tc>
        <w:tc>
          <w:tcPr>
            <w:tcW w:w="843" w:type="pct"/>
            <w:vAlign w:val="center"/>
          </w:tcPr>
          <w:p>
            <w:pPr>
              <w:pStyle w:val="25"/>
              <w:rPr>
                <w:rFonts w:cs="Times New Roman"/>
              </w:rPr>
            </w:pPr>
          </w:p>
        </w:tc>
        <w:tc>
          <w:tcPr>
            <w:tcW w:w="1686" w:type="pct"/>
            <w:gridSpan w:val="2"/>
            <w:vAlign w:val="center"/>
          </w:tcPr>
          <w:p>
            <w:pPr>
              <w:pStyle w:val="25"/>
              <w:jc w:val="right"/>
              <w:rPr>
                <w:rFonts w:cs="Times New Roman"/>
              </w:rPr>
            </w:pPr>
            <w:r>
              <w:rPr>
                <w:rFonts w:hint="eastAsia" w:cs="Times New Roman"/>
                <w:sz w:val="20"/>
                <w:szCs w:val="20"/>
              </w:rPr>
              <w:t xml:space="preserve">公开09表 </w:t>
            </w:r>
          </w:p>
        </w:tc>
      </w:tr>
      <w:tr>
        <w:tblPrEx>
          <w:tblCellMar>
            <w:top w:w="0" w:type="dxa"/>
            <w:left w:w="0" w:type="dxa"/>
            <w:bottom w:w="0" w:type="dxa"/>
            <w:right w:w="0" w:type="dxa"/>
          </w:tblCellMar>
        </w:tblPrEx>
        <w:trPr>
          <w:jc w:val="center"/>
        </w:trPr>
        <w:tc>
          <w:tcPr>
            <w:tcW w:w="3313" w:type="pct"/>
            <w:gridSpan w:val="5"/>
            <w:vAlign w:val="center"/>
          </w:tcPr>
          <w:p>
            <w:pPr>
              <w:pStyle w:val="25"/>
              <w:rPr>
                <w:rFonts w:cs="Times New Roman"/>
              </w:rPr>
            </w:pPr>
            <w:r>
              <w:rPr>
                <w:rFonts w:hint="eastAsia" w:cs="Times New Roman"/>
                <w:sz w:val="22"/>
                <w:szCs w:val="22"/>
              </w:rPr>
              <w:t xml:space="preserve">部门：益阳市资阳区城市管理和综合执法局 </w:t>
            </w:r>
          </w:p>
        </w:tc>
        <w:tc>
          <w:tcPr>
            <w:tcW w:w="1686" w:type="pct"/>
            <w:gridSpan w:val="2"/>
            <w:tcBorders>
              <w:top w:val="nil"/>
              <w:left w:val="nil"/>
              <w:bottom w:val="single" w:color="666666" w:sz="4" w:space="0"/>
              <w:right w:val="nil"/>
            </w:tcBorders>
            <w:vAlign w:val="center"/>
          </w:tcPr>
          <w:p>
            <w:pPr>
              <w:pStyle w:val="25"/>
              <w:jc w:val="right"/>
              <w:rPr>
                <w:rFonts w:cs="Times New Roman"/>
              </w:rPr>
            </w:pPr>
            <w:r>
              <w:rPr>
                <w:rFonts w:hint="eastAsia" w:cs="Times New Roman"/>
                <w:sz w:val="20"/>
                <w:szCs w:val="20"/>
              </w:rPr>
              <w:t xml:space="preserve">金额单位：万元 </w:t>
            </w:r>
          </w:p>
        </w:tc>
      </w:tr>
      <w:tr>
        <w:tblPrEx>
          <w:tblCellMar>
            <w:top w:w="0" w:type="dxa"/>
            <w:left w:w="0" w:type="dxa"/>
            <w:bottom w:w="0" w:type="dxa"/>
            <w:right w:w="0" w:type="dxa"/>
          </w:tblCellMar>
        </w:tblPrEx>
        <w:trPr>
          <w:jc w:val="center"/>
        </w:trPr>
        <w:tc>
          <w:tcPr>
            <w:tcW w:w="2469"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 </w:t>
            </w:r>
          </w:p>
        </w:tc>
        <w:tc>
          <w:tcPr>
            <w:tcW w:w="2530" w:type="pct"/>
            <w:gridSpan w:val="3"/>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本年支出 </w:t>
            </w:r>
          </w:p>
        </w:tc>
      </w:tr>
      <w:tr>
        <w:tblPrEx>
          <w:tblCellMar>
            <w:top w:w="0" w:type="dxa"/>
            <w:left w:w="0" w:type="dxa"/>
            <w:bottom w:w="0" w:type="dxa"/>
            <w:right w:w="0" w:type="dxa"/>
          </w:tblCellMar>
        </w:tblPrEx>
        <w:trPr>
          <w:trHeight w:val="311" w:hRule="atLeast"/>
          <w:jc w:val="center"/>
        </w:trPr>
        <w:tc>
          <w:tcPr>
            <w:tcW w:w="496" w:type="pct"/>
            <w:gridSpan w:val="3"/>
            <w:vMerge w:val="restart"/>
            <w:tcBorders>
              <w:top w:val="nil"/>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功能分类科目编码 </w:t>
            </w:r>
          </w:p>
        </w:tc>
        <w:tc>
          <w:tcPr>
            <w:tcW w:w="0" w:type="pct"/>
            <w:vMerge w:val="restart"/>
            <w:tcBorders>
              <w:top w:val="nil"/>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科目名称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基本支出 </w:t>
            </w:r>
          </w:p>
        </w:tc>
        <w:tc>
          <w:tcPr>
            <w:tcW w:w="0" w:type="pct"/>
            <w:vMerge w:val="restar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项目支出 </w:t>
            </w: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blPrEx>
          <w:tblCellMar>
            <w:top w:w="0" w:type="dxa"/>
            <w:left w:w="0" w:type="dxa"/>
            <w:bottom w:w="0" w:type="dxa"/>
            <w:right w:w="0" w:type="dxa"/>
          </w:tblCellMar>
        </w:tblPrEx>
        <w:trPr>
          <w:trHeight w:val="311" w:hRule="atLeast"/>
          <w:jc w:val="center"/>
        </w:trPr>
        <w:tc>
          <w:tcPr>
            <w:tcW w:w="0" w:type="auto"/>
            <w:gridSpan w:val="3"/>
            <w:vMerge w:val="continue"/>
            <w:tcBorders>
              <w:top w:val="nil"/>
              <w:left w:val="single" w:color="666666" w:sz="4" w:space="0"/>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nil"/>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c>
          <w:tcPr>
            <w:tcW w:w="0" w:type="auto"/>
            <w:vMerge w:val="continue"/>
            <w:tcBorders>
              <w:top w:val="single" w:color="666666" w:sz="4" w:space="0"/>
              <w:left w:val="nil"/>
              <w:bottom w:val="single" w:color="666666" w:sz="4" w:space="0"/>
              <w:right w:val="single" w:color="666666" w:sz="4" w:space="0"/>
            </w:tcBorders>
            <w:vAlign w:val="center"/>
          </w:tcPr>
          <w:p>
            <w:pPr>
              <w:widowControl/>
              <w:jc w:val="left"/>
              <w:rPr>
                <w:rFonts w:ascii="宋体" w:hAnsi="宋体" w:eastAsia="宋体"/>
                <w:kern w:val="0"/>
                <w:sz w:val="24"/>
                <w:szCs w:val="24"/>
              </w:rPr>
            </w:pPr>
          </w:p>
        </w:tc>
      </w:tr>
      <w:tr>
        <w:trPr>
          <w:jc w:val="center"/>
        </w:trPr>
        <w:tc>
          <w:tcPr>
            <w:tcW w:w="2469"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栏次 </w:t>
            </w:r>
          </w:p>
        </w:tc>
        <w:tc>
          <w:tcPr>
            <w:tcW w:w="843"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1 </w:t>
            </w:r>
          </w:p>
        </w:tc>
        <w:tc>
          <w:tcPr>
            <w:tcW w:w="843"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2 </w:t>
            </w:r>
          </w:p>
        </w:tc>
        <w:tc>
          <w:tcPr>
            <w:tcW w:w="843" w:type="pct"/>
            <w:tcBorders>
              <w:top w:val="single" w:color="666666" w:sz="4" w:space="0"/>
              <w:left w:val="nil"/>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3 </w:t>
            </w:r>
          </w:p>
        </w:tc>
      </w:tr>
      <w:tr>
        <w:trPr>
          <w:jc w:val="center"/>
        </w:trPr>
        <w:tc>
          <w:tcPr>
            <w:tcW w:w="2469" w:type="pct"/>
            <w:gridSpan w:val="4"/>
            <w:tcBorders>
              <w:top w:val="single" w:color="666666" w:sz="4" w:space="0"/>
              <w:left w:val="single" w:color="666666" w:sz="4" w:space="0"/>
              <w:bottom w:val="single" w:color="666666" w:sz="4" w:space="0"/>
              <w:right w:val="single" w:color="666666" w:sz="4" w:space="0"/>
            </w:tcBorders>
            <w:vAlign w:val="center"/>
          </w:tcPr>
          <w:p>
            <w:pPr>
              <w:pStyle w:val="25"/>
              <w:jc w:val="center"/>
              <w:rPr>
                <w:rFonts w:cs="Times New Roman"/>
              </w:rPr>
            </w:pPr>
            <w:r>
              <w:rPr>
                <w:rFonts w:hint="eastAsia" w:cs="Times New Roman"/>
                <w:sz w:val="22"/>
                <w:szCs w:val="22"/>
              </w:rPr>
              <w:t xml:space="preserve">合计 </w:t>
            </w: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496"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97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496"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97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496"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97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496"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97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496"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97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496" w:type="pct"/>
            <w:gridSpan w:val="3"/>
            <w:tcBorders>
              <w:top w:val="single" w:color="666666" w:sz="4" w:space="0"/>
              <w:left w:val="single" w:color="666666" w:sz="4" w:space="0"/>
              <w:bottom w:val="single" w:color="666666" w:sz="4" w:space="0"/>
              <w:right w:val="single" w:color="666666" w:sz="4" w:space="0"/>
            </w:tcBorders>
            <w:vAlign w:val="center"/>
          </w:tcPr>
          <w:p>
            <w:pPr>
              <w:pStyle w:val="25"/>
              <w:rPr>
                <w:rFonts w:cs="Times New Roman"/>
              </w:rPr>
            </w:pPr>
          </w:p>
        </w:tc>
        <w:tc>
          <w:tcPr>
            <w:tcW w:w="1971" w:type="pct"/>
            <w:tcBorders>
              <w:top w:val="single" w:color="666666" w:sz="4" w:space="0"/>
              <w:left w:val="nil"/>
              <w:bottom w:val="single" w:color="666666" w:sz="4" w:space="0"/>
              <w:right w:val="single" w:color="666666" w:sz="4" w:space="0"/>
            </w:tcBorders>
            <w:vAlign w:val="center"/>
          </w:tcPr>
          <w:p>
            <w:pPr>
              <w:pStyle w:val="25"/>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c>
          <w:tcPr>
            <w:tcW w:w="843" w:type="pct"/>
            <w:tcBorders>
              <w:top w:val="single" w:color="666666" w:sz="4" w:space="0"/>
              <w:left w:val="nil"/>
              <w:bottom w:val="single" w:color="666666" w:sz="4" w:space="0"/>
              <w:right w:val="single" w:color="666666" w:sz="4" w:space="0"/>
            </w:tcBorders>
            <w:vAlign w:val="center"/>
          </w:tcPr>
          <w:p>
            <w:pPr>
              <w:pStyle w:val="25"/>
              <w:jc w:val="right"/>
              <w:rPr>
                <w:rFonts w:cs="Times New Roman"/>
              </w:rPr>
            </w:pPr>
          </w:p>
        </w:tc>
      </w:tr>
      <w:tr>
        <w:trPr>
          <w:jc w:val="center"/>
        </w:trPr>
        <w:tc>
          <w:tcPr>
            <w:tcW w:w="5000" w:type="pct"/>
            <w:gridSpan w:val="7"/>
            <w:vAlign w:val="center"/>
          </w:tcPr>
          <w:p>
            <w:pPr>
              <w:pStyle w:val="25"/>
              <w:rPr>
                <w:rFonts w:cs="Times New Roman"/>
              </w:rPr>
            </w:pPr>
            <w:r>
              <w:rPr>
                <w:rFonts w:hint="eastAsia" w:cs="Times New Roman"/>
                <w:sz w:val="22"/>
                <w:szCs w:val="22"/>
              </w:rPr>
              <w:t xml:space="preserve">注：本表反映部门本年度国有资本经营预算财政拨款支出情况。本单位没有国有资本经营预算财政拨款收入，也没有使用国有资本经营预算财政拨款安排的支出，故本表无数据。 </w:t>
            </w:r>
          </w:p>
        </w:tc>
      </w:tr>
    </w:tbl>
    <w:p>
      <w:pPr>
        <w:pStyle w:val="25"/>
      </w:pPr>
      <w:r>
        <w:rPr>
          <w:rFonts w:hint="eastAsia"/>
        </w:rPr>
        <w:t xml:space="preserve"> </w:t>
      </w:r>
    </w:p>
    <w:p>
      <w:pPr>
        <w:widowControl/>
        <w:jc w:val="left"/>
        <w:rPr>
          <w:rFonts w:ascii="宋体" w:hAnsi="宋体" w:eastAsia="宋体" w:cs="宋体"/>
          <w:b/>
          <w:bCs/>
          <w:color w:val="000000"/>
          <w:sz w:val="36"/>
          <w:szCs w:val="36"/>
        </w:rPr>
        <w:sectPr>
          <w:pgSz w:w="16838" w:h="11906"/>
          <w:pgMar w:top="1080" w:right="400" w:bottom="1080" w:left="400" w:header="851" w:footer="992" w:gutter="0"/>
          <w:cols w:space="720" w:num="1"/>
          <w:docGrid w:type="lines" w:linePitch="160" w:charSpace="0"/>
        </w:sectPr>
      </w:pPr>
    </w:p>
    <w:p>
      <w:pPr>
        <w:spacing w:after="1"/>
        <w:jc w:val="center"/>
      </w:pPr>
      <w:r>
        <w:rPr>
          <w:rFonts w:hint="eastAsia" w:ascii="宋体" w:hAnsi="宋体" w:eastAsia="宋体"/>
          <w:b/>
          <w:bCs/>
          <w:color w:val="000000"/>
          <w:sz w:val="36"/>
          <w:szCs w:val="36"/>
        </w:rPr>
        <w:t>第三部分 2020年度部门决算情况说明</w:t>
      </w:r>
      <w:r>
        <w:rPr>
          <w:rFonts w:hint="eastAsia"/>
          <w:color w:val="000000"/>
        </w:rPr>
        <w:t xml:space="preserve"> </w:t>
      </w:r>
    </w:p>
    <w:p>
      <w:r>
        <w:rPr>
          <w:rFonts w:hint="eastAsia"/>
        </w:rPr>
        <w:t xml:space="preserve"> </w:t>
      </w:r>
    </w:p>
    <w:p>
      <w:pPr>
        <w:pStyle w:val="24"/>
        <w:spacing w:after="1"/>
        <w:ind w:firstLine="641"/>
        <w:rPr>
          <w:sz w:val="27"/>
          <w:szCs w:val="27"/>
        </w:rPr>
      </w:pPr>
      <w:r>
        <w:rPr>
          <w:rFonts w:hint="eastAsia" w:ascii="宋体" w:hAnsi="宋体" w:eastAsia="宋体"/>
          <w:b/>
          <w:bCs/>
          <w:color w:val="000000"/>
          <w:sz w:val="32"/>
          <w:szCs w:val="32"/>
        </w:rPr>
        <w:t>一、收入支出决算总体情况说明</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2020年度收、支总计1,596.33万元。与上一年度相比，收、支总计各增加309.61万元，增长24.06%。主要是因为人员增加，工资、津贴等增加。</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二、收入决算情况说明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2020年度收入合计1,208.9万元，其中：财政拨款收入1,016.48万元，占84.08%；上级补助收入0万元，占0%；事业收入0万元，占0%；经营收入0万元，占0%；附属单位上缴收入0万元，占0%；其他收入192.42万元，占15.92%。</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三、支出决算情况说明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2020年度支出合计1,036.46万元，其中：基本支出1,036.46万元，占100%；项目支出0万元，占0%；上缴上级支出0万元，占0%；经营支出0万元，占0%；对附属单位补助支出0万元，占0%。</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四、财政拨款收入支出决算总体情况说明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财政拨款收、支总计1,182.05万元。与上一年度相比，财政拨款收、支总计各增加206.26万元，增长21.14%。主要是因为创卫工作迎检，增加了农村人居环境整治工作经费；增加了城市维护资金，增加了临时项目维护管理经费（不可预计费用）。</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五、一般公共预算财政拨款支出决算情况说明</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（一）财政拨款支出决算总体情况</w:t>
      </w:r>
      <w:r>
        <w:rPr>
          <w:rFonts w:hint="eastAsia"/>
          <w:color w:val="000000"/>
          <w:sz w:val="27"/>
          <w:szCs w:val="27"/>
        </w:rPr>
        <w:t xml:space="preserve"> </w:t>
      </w:r>
    </w:p>
    <w:p>
      <w:pPr>
        <w:pStyle w:val="24"/>
        <w:spacing w:after="1"/>
        <w:ind w:firstLine="855"/>
        <w:rPr>
          <w:sz w:val="27"/>
          <w:szCs w:val="27"/>
        </w:rPr>
      </w:pPr>
      <w:r>
        <w:rPr>
          <w:rFonts w:hint="eastAsia" w:ascii="宋体" w:hAnsi="宋体" w:eastAsia="宋体"/>
          <w:color w:val="000000"/>
          <w:sz w:val="32"/>
          <w:szCs w:val="32"/>
        </w:rPr>
        <w:t>2020年度财政拨款支出701.07万元，占本年支出合计的67.64%。与上一年度相比，财政拨款支出减少111.6万元，下降13.73%。主要是因为去年创卫工作复审迎检，蓝天保卫战等工作增加了费用支出，今年认真落实厉行节约的要求，在保障机关正常运行的基础上，大力压减一般性支出，有效降低机关运行成本，提高财政资金使用效益。</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（二）财政拨款支出决算结构情况</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财政拨款支出701.07万元，主要用于以下方面：社会保障和就业支出7.97万元，占1.14%；卫生健康支出9.91万元，占1.41%；节能环保支出2万元，占0.29%；城乡社区支出675.4万元，占96.33%；住房保障支出5.79万元，占0.83%。</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b/>
          <w:bCs/>
          <w:color w:val="000000"/>
          <w:sz w:val="32"/>
          <w:szCs w:val="32"/>
        </w:rPr>
        <w:t>（三）财政拨款支出决算具体情况</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2020年度财政拨款支出年初预算数为489.53万元，支出决算数为701.07万元，完成年初预算的143.21%，其中：</w:t>
      </w:r>
      <w:r>
        <w:rPr>
          <w:rFonts w:hint="eastAsia"/>
          <w:color w:val="000000"/>
          <w:sz w:val="27"/>
          <w:szCs w:val="27"/>
        </w:rPr>
        <w:t xml:space="preserve"> </w:t>
      </w:r>
    </w:p>
    <w:p>
      <w:pPr>
        <w:pStyle w:val="24"/>
        <w:spacing w:after="1"/>
        <w:ind w:firstLine="641"/>
        <w:rPr>
          <w:sz w:val="27"/>
          <w:szCs w:val="27"/>
        </w:rPr>
      </w:pPr>
      <w:r>
        <w:rPr>
          <w:rStyle w:val="40"/>
          <w:rFonts w:hint="eastAsia" w:ascii="宋体" w:hAnsi="宋体" w:eastAsia="宋体"/>
          <w:color w:val="000000"/>
          <w:sz w:val="32"/>
          <w:szCs w:val="32"/>
        </w:rPr>
        <w:t>1、社会保障和就业支出（类）行政事业单位养老支出（款）机关事业单位基本养老保险缴费支出（项）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年初预算为7.72万元，支出决算为7.72万元，完成年初预算的100%。决算数与年初预算数一致，我单位严格按预算执行决算。</w:t>
      </w:r>
    </w:p>
    <w:p>
      <w:pPr>
        <w:pStyle w:val="24"/>
        <w:spacing w:after="1"/>
        <w:ind w:firstLine="641"/>
        <w:rPr>
          <w:sz w:val="27"/>
          <w:szCs w:val="27"/>
        </w:rPr>
      </w:pPr>
      <w:r>
        <w:rPr>
          <w:rStyle w:val="40"/>
          <w:rFonts w:hint="eastAsia" w:ascii="宋体" w:hAnsi="宋体" w:eastAsia="宋体"/>
          <w:color w:val="000000"/>
          <w:sz w:val="32"/>
          <w:szCs w:val="32"/>
        </w:rPr>
        <w:t>2、社会保障和就业支出（类）行政事业单位养老支出（款）机关事业单位职业年金缴费支出（项）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年初预算为0.25万元，支出决算为0.25万元，完成年初预算的100%。决算数与年初预算数一致，我单位严格按预算执行决算。</w:t>
      </w:r>
    </w:p>
    <w:p>
      <w:pPr>
        <w:pStyle w:val="24"/>
        <w:spacing w:after="1"/>
        <w:ind w:firstLine="641"/>
        <w:rPr>
          <w:sz w:val="27"/>
          <w:szCs w:val="27"/>
        </w:rPr>
      </w:pPr>
      <w:r>
        <w:rPr>
          <w:rStyle w:val="40"/>
          <w:rFonts w:hint="eastAsia" w:ascii="宋体" w:hAnsi="宋体" w:eastAsia="宋体"/>
          <w:color w:val="000000"/>
          <w:sz w:val="32"/>
          <w:szCs w:val="32"/>
        </w:rPr>
        <w:t>3、卫生健康支出（类）行政事业单位医疗（款）行政单位医疗（项）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年初预算为5.94万元，支出决算为5.94万元，完成年初预算的100%。决算数与年初预算数一致，我单位严格按预算执行决算。</w:t>
      </w:r>
    </w:p>
    <w:p>
      <w:pPr>
        <w:pStyle w:val="24"/>
        <w:spacing w:after="1"/>
        <w:ind w:firstLine="641"/>
        <w:rPr>
          <w:sz w:val="27"/>
          <w:szCs w:val="27"/>
        </w:rPr>
      </w:pPr>
      <w:r>
        <w:rPr>
          <w:rStyle w:val="40"/>
          <w:rFonts w:hint="eastAsia" w:ascii="宋体" w:hAnsi="宋体" w:eastAsia="宋体"/>
          <w:color w:val="000000"/>
          <w:sz w:val="32"/>
          <w:szCs w:val="32"/>
        </w:rPr>
        <w:t>4、卫生健康支出（类）行政事业单位医疗（款）公务员医疗补助（项）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年初预算为3.97万元，支出决算为3.97万元，完成年初预算的100%。决算数与年初预算数一致，我单位严格按预算执行决算。</w:t>
      </w:r>
    </w:p>
    <w:p>
      <w:pPr>
        <w:pStyle w:val="24"/>
        <w:spacing w:after="1"/>
        <w:ind w:firstLine="641"/>
        <w:rPr>
          <w:sz w:val="27"/>
          <w:szCs w:val="27"/>
        </w:rPr>
      </w:pPr>
      <w:r>
        <w:rPr>
          <w:rStyle w:val="40"/>
          <w:rFonts w:hint="eastAsia" w:ascii="宋体" w:hAnsi="宋体" w:eastAsia="宋体"/>
          <w:color w:val="000000"/>
          <w:sz w:val="32"/>
          <w:szCs w:val="32"/>
        </w:rPr>
        <w:t>5、节能环保支出（类）自然生态保护（款）农村环境保护（项）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年初预算为0万元，支出决算为2万元，超出年初预算的100%。决算数大于年初预算数的主要原因是：年中追加指标，创卫工作迎检，农村人居环境整治工作经费。</w:t>
      </w:r>
    </w:p>
    <w:p>
      <w:pPr>
        <w:pStyle w:val="24"/>
        <w:spacing w:after="1"/>
        <w:ind w:firstLine="641"/>
        <w:rPr>
          <w:sz w:val="27"/>
          <w:szCs w:val="27"/>
        </w:rPr>
      </w:pPr>
      <w:r>
        <w:rPr>
          <w:rStyle w:val="40"/>
          <w:rFonts w:hint="eastAsia" w:ascii="宋体" w:hAnsi="宋体" w:eastAsia="宋体"/>
          <w:color w:val="000000"/>
          <w:sz w:val="32"/>
          <w:szCs w:val="32"/>
        </w:rPr>
        <w:t>6、城乡社区支出（类）城乡社区管理事务（款）行政运行（项）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年初预算为0万元，支出决算为1万元，超出年初预算的100%。决算数大于年初预算数的主要原因是：年中追加指标，2019年度绩效考核奖（创新创优）。</w:t>
      </w:r>
    </w:p>
    <w:p>
      <w:pPr>
        <w:pStyle w:val="24"/>
        <w:spacing w:after="1"/>
        <w:ind w:firstLine="641"/>
        <w:rPr>
          <w:sz w:val="27"/>
          <w:szCs w:val="27"/>
        </w:rPr>
      </w:pPr>
      <w:r>
        <w:rPr>
          <w:rStyle w:val="40"/>
          <w:rFonts w:hint="eastAsia" w:ascii="宋体" w:hAnsi="宋体" w:eastAsia="宋体"/>
          <w:color w:val="000000"/>
          <w:sz w:val="32"/>
          <w:szCs w:val="32"/>
        </w:rPr>
        <w:t>7、城乡社区支出（类）城乡社区管理事务（款）城管执法（项）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年初预算为465.86万元，支出决算为463.83万元，完成年初预算的99.56%。决算数小于年初预算数的主要原因是：年中指标减少，扣增人增资负数，人员减少，工资、津贴减少。</w:t>
      </w:r>
    </w:p>
    <w:p>
      <w:pPr>
        <w:pStyle w:val="24"/>
        <w:spacing w:after="1"/>
        <w:ind w:firstLine="641"/>
        <w:rPr>
          <w:sz w:val="27"/>
          <w:szCs w:val="27"/>
        </w:rPr>
      </w:pPr>
      <w:r>
        <w:rPr>
          <w:rStyle w:val="40"/>
          <w:rFonts w:hint="eastAsia" w:ascii="宋体" w:hAnsi="宋体" w:eastAsia="宋体"/>
          <w:color w:val="000000"/>
          <w:sz w:val="32"/>
          <w:szCs w:val="32"/>
        </w:rPr>
        <w:t>8、城乡社区支出（类）城乡社区管理事务（款）其他城乡社区管理事务支出（项）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年初预算为0万元，支出决算为75万元，超出年初预算的100%。决算数大于年初预算数的主要原因是：年中指标追加，城市维护资金，临时项目维护管理经费不可预计费用。</w:t>
      </w:r>
    </w:p>
    <w:p>
      <w:pPr>
        <w:pStyle w:val="24"/>
        <w:spacing w:after="1"/>
        <w:ind w:firstLine="641"/>
        <w:rPr>
          <w:sz w:val="27"/>
          <w:szCs w:val="27"/>
        </w:rPr>
      </w:pPr>
      <w:r>
        <w:rPr>
          <w:rStyle w:val="40"/>
          <w:rFonts w:hint="eastAsia" w:ascii="宋体" w:hAnsi="宋体" w:eastAsia="宋体"/>
          <w:color w:val="000000"/>
          <w:sz w:val="32"/>
          <w:szCs w:val="32"/>
        </w:rPr>
        <w:t>9、城乡社区支出（类）其他城乡社区支出（款）其他城乡社区支出（项）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年初预算为0万元，支出决算为135.57万元，超出年初预算的100%。决算数大于年初预算数的主要原因是：城市维护资金，街道社区管理工作经费。</w:t>
      </w:r>
    </w:p>
    <w:p>
      <w:pPr>
        <w:pStyle w:val="24"/>
        <w:spacing w:after="1"/>
        <w:ind w:firstLine="641"/>
        <w:rPr>
          <w:sz w:val="27"/>
          <w:szCs w:val="27"/>
        </w:rPr>
      </w:pPr>
      <w:r>
        <w:rPr>
          <w:rStyle w:val="40"/>
          <w:rFonts w:hint="eastAsia" w:ascii="宋体" w:hAnsi="宋体" w:eastAsia="宋体"/>
          <w:color w:val="000000"/>
          <w:sz w:val="32"/>
          <w:szCs w:val="32"/>
        </w:rPr>
        <w:t>10、住房保障支出（类）住房改革支出（款）住房公积金（项）</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年初预算为5.79万元，支出决算为5.79万元，完成年初预算的100%。决算数与年初预算数一致，我单位严格按预算执行决算。</w:t>
      </w:r>
    </w:p>
    <w:p>
      <w:pPr>
        <w:pStyle w:val="24"/>
        <w:spacing w:after="1"/>
        <w:ind w:firstLine="641"/>
        <w:rPr>
          <w:sz w:val="27"/>
          <w:szCs w:val="27"/>
        </w:rPr>
      </w:pPr>
      <w:r>
        <w:rPr>
          <w:rFonts w:hint="eastAsia" w:ascii="宋体" w:hAnsi="宋体" w:eastAsia="宋体"/>
          <w:b/>
          <w:bCs/>
          <w:color w:val="000000"/>
          <w:sz w:val="32"/>
          <w:szCs w:val="32"/>
        </w:rPr>
        <w:t>六、一般公共预算财政拨款基本支出决算情况说明</w:t>
      </w:r>
      <w:r>
        <w:rPr>
          <w:rFonts w:hint="eastAsia"/>
          <w:color w:val="000000"/>
          <w:sz w:val="27"/>
          <w:szCs w:val="27"/>
        </w:rPr>
        <w:t xml:space="preserve"> </w:t>
      </w:r>
    </w:p>
    <w:p>
      <w:pPr>
        <w:pStyle w:val="24"/>
        <w:spacing w:after="1"/>
        <w:ind w:firstLine="420"/>
        <w:rPr>
          <w:sz w:val="27"/>
          <w:szCs w:val="27"/>
        </w:rPr>
      </w:pPr>
      <w:r>
        <w:rPr>
          <w:rFonts w:hint="eastAsia" w:ascii="宋体" w:hAnsi="宋体" w:eastAsia="宋体"/>
          <w:color w:val="000000"/>
          <w:sz w:val="32"/>
          <w:szCs w:val="32"/>
        </w:rPr>
        <w:t xml:space="preserve"> 2020年度财政拨款基本支出701.07万元，其中：人员经费525.09万元，占基本支出的74.9%，主要包括：基本工资、津贴补贴、奖金、伙食补助费、绩效工资、机关事业单位基本养老保险缴费、职业年金缴费、职工基本医疗保险缴费、公务员医疗补助缴费、其他社会保障缴费、住房公积金、医疗费、其他工资福利支出、生活补助、奖励金、其他对个人和家庭的补助。公用经费175.98万元，占基本支出的25.1%，主要包括：办公设备购置、办公费、印刷费、咨询费、水费、电费、邮电费、维修（护）费、租赁费、培训费、专用材料费、劳务费、委托业务费、工会经费、其他交通费用、其他商品和服务支出。</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七、一般公共预算财政拨款三公经费支出决算情况说明</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（一）“三公”经费财政拨款支出决算总体情况说明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2020年度“三公”经费财政拨款支出预算为0万元，支出决算为0万元，</w:t>
      </w:r>
      <w:r>
        <w:rPr>
          <w:rFonts w:hint="eastAsia" w:ascii="宋体" w:hAnsi="宋体" w:eastAsia="宋体" w:cs="宋体"/>
          <w:color w:val="000000"/>
          <w:sz w:val="32"/>
          <w:szCs w:val="32"/>
        </w:rPr>
        <w:t>完成预算的100%，</w:t>
      </w:r>
      <w:bookmarkStart w:id="0" w:name="_GoBack"/>
      <w:bookmarkEnd w:id="0"/>
      <w:r>
        <w:rPr>
          <w:rFonts w:hint="eastAsia" w:ascii="宋体" w:hAnsi="宋体" w:eastAsia="宋体"/>
          <w:color w:val="000000"/>
          <w:sz w:val="32"/>
          <w:szCs w:val="32"/>
        </w:rPr>
        <w:t>其中：</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因公出国（境）费支出预算为0万元，支出决算为0万元，决算数与预算数一致，我单位严格按预算执行决算，因公出国（境）费支出与上年持平。</w:t>
      </w:r>
    </w:p>
    <w:p>
      <w:pPr>
        <w:pStyle w:val="24"/>
        <w:spacing w:after="1"/>
        <w:ind w:firstLine="640"/>
        <w:rPr>
          <w:sz w:val="27"/>
          <w:szCs w:val="27"/>
        </w:rPr>
      </w:pPr>
      <w:r>
        <w:rPr>
          <w:rFonts w:hint="eastAsia" w:ascii="宋体" w:hAnsi="宋体" w:eastAsia="宋体"/>
          <w:color w:val="000000"/>
          <w:sz w:val="32"/>
          <w:szCs w:val="32"/>
        </w:rPr>
        <w:t>公务接待费支出预算为0万元，支出决算为0万元，决算数与预算数一致，我单位严格按预算执行决算，公务接待费支出与上年持平。</w:t>
      </w:r>
    </w:p>
    <w:p>
      <w:pPr>
        <w:pStyle w:val="24"/>
        <w:spacing w:after="1"/>
        <w:ind w:firstLine="640"/>
        <w:rPr>
          <w:sz w:val="27"/>
          <w:szCs w:val="27"/>
        </w:rPr>
      </w:pPr>
      <w:r>
        <w:rPr>
          <w:rFonts w:hint="eastAsia" w:ascii="宋体" w:hAnsi="宋体" w:eastAsia="宋体"/>
          <w:color w:val="000000"/>
          <w:sz w:val="32"/>
          <w:szCs w:val="32"/>
        </w:rPr>
        <w:t>公务用车购置费及运行维护费支出预算为0万元，支出决算为0万元，决算数与预算数一致，我单位严格按预算执行决算，公务用车购置费及运行维护费支出与上年持平。</w:t>
      </w:r>
    </w:p>
    <w:p>
      <w:pPr>
        <w:pStyle w:val="24"/>
        <w:spacing w:after="1"/>
        <w:ind w:firstLine="641"/>
        <w:rPr>
          <w:sz w:val="27"/>
          <w:szCs w:val="27"/>
        </w:rPr>
      </w:pPr>
      <w:r>
        <w:rPr>
          <w:rFonts w:hint="eastAsia" w:ascii="宋体" w:hAnsi="宋体" w:eastAsia="宋体"/>
          <w:b/>
          <w:bCs/>
          <w:color w:val="000000"/>
          <w:sz w:val="32"/>
          <w:szCs w:val="32"/>
        </w:rPr>
        <w:t>（二）“三公”经费财政拨款支出决算具体情况说明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2020年度“三公”经费财政拨款支出决算中，公务接待费支出决算0万元，占0%，因公出国（境）费支出决算0万元，占0%，公务用车购置费及运行维护费支出决算0万元，占0%。其中：</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1、因公出国（境）费支出决算为0万元，全年安排因公出国（境）团组0个，累计0人次，我单位2020年度无因公出国（境）费支出。</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2、公务接待费支出决算为0万元，全年共接待来访团组0个、来宾0人次，我单位2020年度无公务接待费支出。</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3、公务用车购置费及运行维护费支出决算为0万元，其中：公务用车购置费0万元。公务用车运行维护费0万元，截至2020年12月31日，我单位开支财政拨款的公务用车保有量为4辆。我单位2020年度无公务用车购置费及运行维护费支出。</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八、政府性基金预算收入支出决算情况</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 xml:space="preserve">2020年度政府性基金预算财政拨款收入11.5万元；年初结转和结余0万元；支出11.5万元，其中基本支出11.5万元，项目支出0万元；年末结转和结余0万元。 </w:t>
      </w:r>
    </w:p>
    <w:p>
      <w:pPr>
        <w:pStyle w:val="24"/>
        <w:spacing w:after="1"/>
        <w:ind w:firstLine="641"/>
        <w:rPr>
          <w:sz w:val="27"/>
          <w:szCs w:val="27"/>
        </w:rPr>
      </w:pPr>
      <w:r>
        <w:rPr>
          <w:rFonts w:hint="eastAsia" w:ascii="宋体" w:hAnsi="宋体" w:eastAsia="宋体"/>
          <w:b/>
          <w:bCs/>
          <w:color w:val="000000"/>
          <w:sz w:val="32"/>
          <w:szCs w:val="32"/>
        </w:rPr>
        <w:t>九、国有资本经营预算财政拨款支出决算情况</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color w:val="000000"/>
          <w:sz w:val="32"/>
          <w:szCs w:val="32"/>
        </w:rPr>
        <w:t xml:space="preserve">益阳市资阳区城市管理和综合执法局2020年度没有国有资本经营预算财政拨款收入，也没有使用国有资本经营预算财政拨款安排的支出，并已公开空表。 </w:t>
      </w:r>
    </w:p>
    <w:p>
      <w:pPr>
        <w:pStyle w:val="24"/>
        <w:spacing w:after="1"/>
        <w:ind w:firstLine="640"/>
        <w:rPr>
          <w:sz w:val="27"/>
          <w:szCs w:val="27"/>
        </w:rPr>
      </w:pPr>
      <w:r>
        <w:rPr>
          <w:rFonts w:hint="eastAsia" w:ascii="宋体" w:hAnsi="宋体" w:eastAsia="宋体"/>
          <w:b/>
          <w:bCs/>
          <w:color w:val="000000"/>
          <w:sz w:val="32"/>
          <w:szCs w:val="32"/>
        </w:rPr>
        <w:t>十、关于机关运行经费支出说明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益阳市资阳区城市管理和综合执法局2020年度机关运行经费支出175.98万元，比年初预算数增加163.94万元，增长1,361.63%。主要原因是：创卫工作复审，蓝天保卫战等工作增加了费用，一方面认真落实厉行节约的要求，在保障机关正常运行的基础上，大力压减一般性支出，有效降低机关运行成本，提高财政资金使用效益。</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b/>
          <w:bCs/>
          <w:color w:val="000000"/>
          <w:sz w:val="32"/>
          <w:szCs w:val="32"/>
        </w:rPr>
        <w:t>十一、一般性支出情况</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度益阳市资阳区城市管理和综合执法局一般性支出169.41万元，其中：会议费0万元，我单位2020年度无会议费支出；开支培训费0.1万元，用于开展党的十九届五中全会精神集中宣讲活动，共58人，均为局系统人员，内容为：学习习近平总书记在党的十九届五中全会上的重要讲话精神等；2020年度未使用一般公共预算财政拨款举办节庆、晚会、论坛、赛事活动。办公费2.93万元；印刷费3.67万元；咨询费2.4万元；水费0.18万元；电费2万元；邮电费0.29万元；取暖费0万元；物业管理费0万元；差旅费0万元；因公出国（境）费用0万元；维修（护）费8.15万元；租赁费0.13万元；公务接待费0万元；被装购置费0万元；劳务费13.58万元；委托业务费124.43万元；公务用车运行维护费0万元；其他交通费用7.51万元；房屋建筑物购建0万元；办公设备购置4.04万元；公务用车购置0万元；其他交通工具购置0万元。</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b/>
          <w:bCs/>
          <w:color w:val="000000"/>
          <w:sz w:val="32"/>
          <w:szCs w:val="32"/>
        </w:rPr>
        <w:t>十二、关于政府采购支出说明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 xml:space="preserve">益阳市资阳区城市管理和综合执法局2020年度政府采购支出总额42.92万元，其中：政府采购货物支出0万元、政府采购工程支出15.2万元、政府采购服务支出27.72万元。授予中小企业合同金额42.92万元，占政府采购支出总额的100%，其中：授予小微企业合同金额42.92万元，占政府采购支出总额的100%。 </w:t>
      </w:r>
    </w:p>
    <w:p>
      <w:pPr>
        <w:pStyle w:val="24"/>
        <w:spacing w:after="1"/>
        <w:ind w:firstLine="640"/>
        <w:rPr>
          <w:sz w:val="27"/>
          <w:szCs w:val="27"/>
        </w:rPr>
      </w:pPr>
      <w:r>
        <w:rPr>
          <w:rFonts w:hint="eastAsia" w:ascii="宋体" w:hAnsi="宋体" w:eastAsia="宋体"/>
          <w:b/>
          <w:bCs/>
          <w:color w:val="000000"/>
          <w:sz w:val="32"/>
          <w:szCs w:val="32"/>
        </w:rPr>
        <w:t>十三、关于国有资产占用情况说明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截至2020年12月31日，益阳市资阳区城市管理和综合执法局共有车辆4辆（台），其中：副部（省）级及以上领导用车0辆、主要领导干部用车0辆、机要通信用车0辆、应急保障用车0辆、执法执勤用车4辆、特种专业技术用车0辆、离退休干部用车0辆、其他用车0辆；单价50万元（含）以上通用设备0台（套），单价100万元（含）以上专用设备0台（套）。</w:t>
      </w:r>
      <w:r>
        <w:rPr>
          <w:rFonts w:hint="eastAsia"/>
          <w:color w:val="000000"/>
          <w:sz w:val="27"/>
          <w:szCs w:val="27"/>
        </w:rPr>
        <w:t xml:space="preserve"> </w:t>
      </w:r>
    </w:p>
    <w:p>
      <w:pPr>
        <w:pStyle w:val="24"/>
        <w:spacing w:after="1"/>
        <w:ind w:firstLine="641"/>
        <w:rPr>
          <w:sz w:val="27"/>
          <w:szCs w:val="27"/>
        </w:rPr>
      </w:pPr>
      <w:r>
        <w:rPr>
          <w:rFonts w:hint="eastAsia" w:ascii="宋体" w:hAnsi="宋体" w:eastAsia="宋体"/>
          <w:b/>
          <w:bCs/>
          <w:color w:val="000000"/>
          <w:sz w:val="32"/>
          <w:szCs w:val="32"/>
        </w:rPr>
        <w:t>十四、关于2020年度预算绩效情况说明</w:t>
      </w:r>
      <w:r>
        <w:rPr>
          <w:rFonts w:hint="eastAsia"/>
          <w:color w:val="000000"/>
          <w:sz w:val="27"/>
          <w:szCs w:val="27"/>
        </w:rPr>
        <w:t xml:space="preserve"> </w:t>
      </w:r>
    </w:p>
    <w:p>
      <w:pPr>
        <w:pStyle w:val="24"/>
        <w:spacing w:after="1"/>
        <w:ind w:firstLine="640"/>
        <w:rPr>
          <w:sz w:val="27"/>
          <w:szCs w:val="27"/>
        </w:rPr>
      </w:pPr>
      <w:r>
        <w:rPr>
          <w:rFonts w:hint="eastAsia" w:ascii="宋体" w:hAnsi="宋体" w:eastAsia="宋体"/>
          <w:color w:val="000000"/>
          <w:sz w:val="32"/>
          <w:szCs w:val="32"/>
        </w:rPr>
        <w:t>2020年，按照有关政策文件要求开展预算绩效管理工作，一是加强绩效目标管理。在编制2020年部门预算时，本部门将所有预算资金纳入绩效目标管理，实现绩效目标与部门预算同步编制、同步申报。二是做好绩效自评。对2019年部门整体支出开展了绩效自评，并在本单位网站进行公开。2020年，区城管执法局在区委、区政府的坚强领导下，各项工作取得较好成效，完成的工作主要有以下几个方面：1、全面落实“行政执法公示、执法全过程记录、重大行政决定法制审核”三项制度，办结行政审批案件11件，行政处罚案件33件，组织科级干部参加干部在线学习平台“疫情防控与应急管理”专题学习等方式进一步提升了干部队伍素养和执法水平。2、成立疫情防控工作领导小组，坚决落实各项防控措施。综合运用线下、线上两种宣传方法，强化疫情防控意识，加强人员聚集场所的管控力度和城区各区域的保洁力度，设置600多个废弃口罩专用回收垃圾桶，多方筹措防疫消毒物资，切断病毒传播链条。3、今年来及时制止露天焚烧12起，立案处罚3起，罚款1500元；发现违规燃放烟花鞭炮行为7起，及时制止4起，报110处置3起。4、开展占道越门经营专项治理，疏堵结合、严管重罚治理市容顽疾，出动执法人员7613人次加强巡查整治，规劝2万余人次流动摊贩入市经营，取缔关闭违规占道经营484处，清除3千余处牛皮癣，600多个乱贴乱画的通讯号码被采取追呼措施，保证了良好的市容秩序，守护食品安全，消除了道路交通顽瘴痼疾安全隐患。灵活安排“护学岗”，与所在地学校作息时间同步错时护学，开展夏季防溺水行动，助力返校复学。5、严格落实日常巡查管控，确保及时发现违建问题，今年来，出动人员1268人次、工程机械 14台次、其他车辆348台次开展44次整治违法建设拆违行动，拆除违法建筑55处 9750平方米，对违建保持了强大的震慑力，实现存量违建全部清零，新发违建零增长的目标，“铁锤行动”圆满收官。</w:t>
      </w:r>
      <w:r>
        <w:rPr>
          <w:rFonts w:hint="eastAsia"/>
          <w:color w:val="000000"/>
          <w:sz w:val="27"/>
          <w:szCs w:val="27"/>
        </w:rPr>
        <w:t xml:space="preserve"> </w:t>
      </w:r>
    </w:p>
    <w:p>
      <w:pPr>
        <w:pStyle w:val="25"/>
        <w:spacing w:before="0" w:beforeAutospacing="0" w:after="1" w:afterAutospacing="0"/>
      </w:pPr>
      <w:r>
        <w:rPr>
          <w:rFonts w:hint="eastAsia"/>
        </w:rPr>
        <w:t xml:space="preserve"> </w:t>
      </w:r>
    </w:p>
    <w:p>
      <w:r>
        <w:rPr>
          <w:rFonts w:hint="eastAsia"/>
        </w:rPr>
        <w:t xml:space="preserve"> </w:t>
      </w:r>
    </w:p>
    <w:p>
      <w:pPr>
        <w:spacing w:after="1"/>
        <w:jc w:val="center"/>
      </w:pPr>
      <w:r>
        <w:rPr>
          <w:rFonts w:hint="eastAsia" w:ascii="宋体" w:hAnsi="宋体" w:eastAsia="宋体"/>
          <w:b/>
          <w:bCs/>
          <w:color w:val="000000"/>
          <w:sz w:val="36"/>
          <w:szCs w:val="36"/>
        </w:rPr>
        <w:t>第四部分 名词解释</w:t>
      </w:r>
      <w:r>
        <w:rPr>
          <w:rFonts w:hint="eastAsia"/>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财政拨款收入</w:t>
      </w:r>
      <w:r>
        <w:rPr>
          <w:rFonts w:hint="eastAsia" w:ascii="宋体" w:hAnsi="宋体" w:eastAsia="宋体"/>
          <w:color w:val="000000"/>
          <w:sz w:val="32"/>
          <w:szCs w:val="32"/>
        </w:rPr>
        <w:t>：指财政当年拨付的资金。包括一般公共预算财政拨款和政府性基金财政拨款。</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上级补助收入</w:t>
      </w:r>
      <w:r>
        <w:rPr>
          <w:rFonts w:hint="eastAsia" w:ascii="宋体" w:hAnsi="宋体" w:eastAsia="宋体"/>
          <w:color w:val="000000"/>
          <w:sz w:val="32"/>
          <w:szCs w:val="32"/>
        </w:rPr>
        <w:t>：指事业单位从主管部门和上级单位取得的非财政补助收入。</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事业收入：</w:t>
      </w:r>
      <w:r>
        <w:rPr>
          <w:rFonts w:hint="eastAsia" w:ascii="宋体" w:hAnsi="宋体" w:eastAsia="宋体"/>
          <w:color w:val="000000"/>
          <w:sz w:val="32"/>
          <w:szCs w:val="32"/>
        </w:rPr>
        <w:t>指事业单位开展专业业务活动及辅助活动所取得的收入。</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经营收入：</w:t>
      </w:r>
      <w:r>
        <w:rPr>
          <w:rFonts w:hint="eastAsia" w:ascii="宋体" w:hAnsi="宋体" w:eastAsia="宋体"/>
          <w:color w:val="000000"/>
          <w:sz w:val="32"/>
          <w:szCs w:val="32"/>
        </w:rPr>
        <w:t>指事业单位在专业业务活动及其辅助活动之外开展非独立核算经营活动取得的收入。</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附属单位上缴收入</w:t>
      </w:r>
      <w:r>
        <w:rPr>
          <w:rFonts w:hint="eastAsia" w:ascii="宋体" w:hAnsi="宋体" w:eastAsia="宋体"/>
          <w:color w:val="000000"/>
          <w:sz w:val="32"/>
          <w:szCs w:val="32"/>
        </w:rPr>
        <w:t>：指事业单位附属独立核算单位按照有关规定上缴的收入。</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其他收入</w:t>
      </w:r>
      <w:r>
        <w:rPr>
          <w:rFonts w:hint="eastAsia" w:ascii="宋体" w:hAnsi="宋体" w:eastAsia="宋体"/>
          <w:color w:val="000000"/>
          <w:sz w:val="32"/>
          <w:szCs w:val="32"/>
        </w:rPr>
        <w:t>：指除上述“财政拨款收入”、“事业收入”、“经营收入”等以外的收入。</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用事业基金弥补收支差额</w:t>
      </w:r>
      <w:r>
        <w:rPr>
          <w:rFonts w:hint="eastAsia" w:ascii="宋体" w:hAnsi="宋体" w:eastAsia="宋体"/>
          <w:color w:val="000000"/>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年初结转和结余</w:t>
      </w:r>
      <w:r>
        <w:rPr>
          <w:rFonts w:hint="eastAsia" w:ascii="宋体" w:hAnsi="宋体" w:eastAsia="宋体"/>
          <w:color w:val="000000"/>
          <w:sz w:val="32"/>
          <w:szCs w:val="32"/>
        </w:rPr>
        <w:t>：指以前年度尚未完成、结转到本年按有关规定继续使用的资金。</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结余分配</w:t>
      </w:r>
      <w:r>
        <w:rPr>
          <w:rFonts w:hint="eastAsia" w:ascii="宋体" w:hAnsi="宋体" w:eastAsia="宋体"/>
          <w:color w:val="000000"/>
          <w:sz w:val="32"/>
          <w:szCs w:val="32"/>
        </w:rPr>
        <w:t>：指事业事位按规定从非财政补助结余中分配的事业基金和职工福利基金等。</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年末结转和结余</w:t>
      </w:r>
      <w:r>
        <w:rPr>
          <w:rFonts w:hint="eastAsia" w:ascii="宋体" w:hAnsi="宋体" w:eastAsia="宋体"/>
          <w:color w:val="000000"/>
          <w:sz w:val="32"/>
          <w:szCs w:val="32"/>
        </w:rPr>
        <w:t>：指本年度或以前年度预算安排、因客观条件发生变化无法按原计划实施，需要延迟到以后年度按有关规定继续使用的资金。</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基本支出</w:t>
      </w:r>
      <w:r>
        <w:rPr>
          <w:rFonts w:hint="eastAsia" w:ascii="宋体" w:hAnsi="宋体" w:eastAsia="宋体"/>
          <w:color w:val="000000"/>
          <w:sz w:val="32"/>
          <w:szCs w:val="32"/>
        </w:rPr>
        <w:t>：指为保障机构正常运转、完成日常工作任务而发生的人员支出和公用支出。</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项目支出</w:t>
      </w:r>
      <w:r>
        <w:rPr>
          <w:rFonts w:hint="eastAsia" w:ascii="宋体" w:hAnsi="宋体" w:eastAsia="宋体"/>
          <w:color w:val="000000"/>
          <w:sz w:val="32"/>
          <w:szCs w:val="32"/>
        </w:rPr>
        <w:t>：指在基本支出之外为完成特定行政任务和事业发展目标所发生的支出。</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经营支出</w:t>
      </w:r>
      <w:r>
        <w:rPr>
          <w:rFonts w:hint="eastAsia" w:ascii="宋体" w:hAnsi="宋体" w:eastAsia="宋体"/>
          <w:color w:val="000000"/>
          <w:sz w:val="32"/>
          <w:szCs w:val="32"/>
        </w:rPr>
        <w:t>：指事业单位在专业业务活动及其辅助活动之外开展非独立核算经营活动所发生的支出。</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“三公”经费</w:t>
      </w:r>
      <w:r>
        <w:rPr>
          <w:rFonts w:hint="eastAsia" w:ascii="宋体" w:hAnsi="宋体" w:eastAsia="宋体"/>
          <w:color w:val="00000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r>
        <w:rPr>
          <w:rFonts w:ascii="Calibri" w:hAnsi="Calibri"/>
          <w:color w:val="000000"/>
        </w:rPr>
        <w:t xml:space="preserve"> </w:t>
      </w:r>
    </w:p>
    <w:p>
      <w:pPr>
        <w:spacing w:after="1" w:line="336" w:lineRule="atLeast"/>
        <w:ind w:firstLine="643"/>
        <w:rPr>
          <w:rFonts w:ascii="Calibri" w:hAnsi="Calibri"/>
        </w:rPr>
      </w:pPr>
      <w:r>
        <w:rPr>
          <w:rFonts w:hint="eastAsia" w:ascii="宋体" w:hAnsi="宋体" w:eastAsia="宋体"/>
          <w:b/>
          <w:bCs/>
          <w:color w:val="000000"/>
          <w:sz w:val="32"/>
          <w:szCs w:val="32"/>
        </w:rPr>
        <w:t>机关运行经费</w:t>
      </w:r>
      <w:r>
        <w:rPr>
          <w:rFonts w:hint="eastAsia" w:ascii="宋体" w:hAnsi="宋体" w:eastAsia="宋体"/>
          <w:color w:val="000000"/>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r>
        <w:rPr>
          <w:rFonts w:ascii="Calibri" w:hAnsi="Calibri"/>
          <w:color w:val="000000"/>
        </w:rPr>
        <w:t xml:space="preserve"> </w:t>
      </w:r>
    </w:p>
    <w:p>
      <w:pPr>
        <w:spacing w:after="1" w:line="336" w:lineRule="atLeast"/>
        <w:ind w:firstLine="643"/>
        <w:rPr>
          <w:rFonts w:ascii="Calibri" w:hAnsi="Calibri"/>
        </w:rPr>
      </w:pPr>
      <w:r>
        <w:rPr>
          <w:rFonts w:ascii="Calibri" w:hAnsi="Calibri"/>
        </w:rPr>
        <w:t xml:space="preserve"> </w:t>
      </w:r>
    </w:p>
    <w:p>
      <w:pPr>
        <w:spacing w:after="1"/>
        <w:jc w:val="center"/>
      </w:pPr>
      <w:r>
        <w:rPr>
          <w:rFonts w:hint="eastAsia" w:ascii="宋体" w:hAnsi="宋体" w:eastAsia="宋体"/>
          <w:b/>
          <w:bCs/>
          <w:color w:val="000000"/>
          <w:sz w:val="36"/>
          <w:szCs w:val="36"/>
        </w:rPr>
        <w:t>第五部分 附件</w:t>
      </w:r>
      <w:r>
        <w:rPr>
          <w:rFonts w:hint="eastAsia"/>
          <w:color w:val="000000"/>
        </w:rPr>
        <w:t xml:space="preserve"> </w:t>
      </w:r>
    </w:p>
    <w:p>
      <w:pPr>
        <w:spacing w:after="1"/>
        <w:jc w:val="center"/>
      </w:pPr>
      <w:r>
        <w:fldChar w:fldCharType="begin"/>
      </w:r>
      <w:r>
        <w:instrText xml:space="preserve"> HYPERLINK "http://yjs.jbreport.com/home/downloadAttachment?attachGUID=b5aca30b329f4ab3b8f69d398f8ee062" </w:instrText>
      </w:r>
      <w:r>
        <w:fldChar w:fldCharType="separate"/>
      </w:r>
      <w:r>
        <w:rPr>
          <w:rStyle w:val="36"/>
          <w:rFonts w:hint="eastAsia" w:ascii="宋体" w:hAnsi="宋体" w:eastAsia="宋体"/>
          <w:sz w:val="28"/>
          <w:szCs w:val="28"/>
          <w:shd w:val="clear" w:color="auto" w:fill="FFFFFF"/>
        </w:rPr>
        <w:t>益阳市资阳区城市管理和和综合执法局2020年绩效自评报告.doc</w:t>
      </w:r>
      <w:r>
        <w:rPr>
          <w:rStyle w:val="36"/>
          <w:rFonts w:hint="eastAsia" w:ascii="宋体" w:hAnsi="宋体" w:eastAsia="宋体"/>
          <w:sz w:val="28"/>
          <w:szCs w:val="28"/>
          <w:shd w:val="clear" w:color="auto" w:fill="FFFFFF"/>
        </w:rPr>
        <w:fldChar w:fldCharType="end"/>
      </w:r>
    </w:p>
    <w:p>
      <w:pPr>
        <w:spacing w:after="1"/>
        <w:jc w:val="center"/>
      </w:pPr>
      <w:r>
        <w:rPr>
          <w:rFonts w:hint="eastAsia"/>
        </w:rPr>
        <w:t xml:space="preserve"> </w:t>
      </w:r>
    </w:p>
    <w:p>
      <w:pPr>
        <w:spacing w:after="1"/>
        <w:jc w:val="center"/>
      </w:pPr>
      <w:r>
        <w:rPr>
          <w:rFonts w:hint="eastAsia"/>
        </w:rPr>
        <w:t xml:space="preserve"> </w:t>
      </w:r>
    </w:p>
    <w:p>
      <w:pPr>
        <w:spacing w:after="1"/>
        <w:jc w:val="center"/>
      </w:pPr>
      <w:r>
        <w:rPr>
          <w:rFonts w:hint="eastAsia"/>
        </w:rPr>
        <w:t xml:space="preserve"> </w:t>
      </w:r>
    </w:p>
    <w:sectPr>
      <w:pgSz w:w="11906" w:h="16838" w:orient="landscape"/>
      <w:pgMar w:top="1440" w:right="1080" w:bottom="1440" w:left="1080" w:header="851" w:footer="992" w:gutter="0"/>
      <w:cols w:space="720" w:num="1"/>
      <w:docGrid w:type="lines" w:linePitch="1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doNotCompress"/>
  <w:compat>
    <w:doNotSnapToGridInCell/>
    <w:doNotWrapTextWithPunct/>
    <w:doNotUseEastAsianBreakRules/>
    <w:growAutofit/>
    <w:useFELayout/>
    <w:compatSetting w:name="compatibilityMode" w:uri="http://schemas.microsoft.com/office/word" w:val="14"/>
  </w:compat>
  <w:docVars>
    <w:docVar w:name="commondata" w:val="eyJoZGlkIjoiNjFmOGFkMzM4NzA0OGNiZjgxOTNlYzM1NTlkZjlhZmMifQ=="/>
  </w:docVars>
  <w:rsids>
    <w:rsidRoot w:val="00B12616"/>
    <w:rsid w:val="003A5102"/>
    <w:rsid w:val="007176C5"/>
    <w:rsid w:val="00B12616"/>
    <w:rsid w:val="00DB7165"/>
    <w:rsid w:val="00FD11E0"/>
    <w:rsid w:val="033A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1"/>
    <w:next w:val="1"/>
    <w:link w:val="16"/>
    <w:qFormat/>
    <w:uiPriority w:val="0"/>
    <w:pPr>
      <w:widowControl/>
      <w:spacing w:before="100" w:beforeAutospacing="1" w:after="100" w:afterAutospacing="1"/>
      <w:jc w:val="left"/>
      <w:outlineLvl w:val="0"/>
    </w:pPr>
    <w:rPr>
      <w:rFonts w:ascii="宋体" w:hAnsi="宋体" w:eastAsia="宋体" w:cs="宋体"/>
      <w:b/>
      <w:bCs/>
      <w:kern w:val="44"/>
      <w:sz w:val="48"/>
      <w:szCs w:val="48"/>
    </w:rPr>
  </w:style>
  <w:style w:type="paragraph" w:styleId="3">
    <w:name w:val="heading 2"/>
    <w:basedOn w:val="1"/>
    <w:next w:val="1"/>
    <w:link w:val="17"/>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8"/>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4"/>
    <w:basedOn w:val="1"/>
    <w:next w:val="1"/>
    <w:link w:val="19"/>
    <w:qFormat/>
    <w:uiPriority w:val="0"/>
    <w:pPr>
      <w:widowControl/>
      <w:spacing w:before="100" w:beforeAutospacing="1" w:after="100" w:afterAutospacing="1"/>
      <w:jc w:val="left"/>
      <w:outlineLvl w:val="3"/>
    </w:pPr>
    <w:rPr>
      <w:rFonts w:ascii="宋体" w:hAnsi="宋体" w:eastAsia="宋体" w:cs="宋体"/>
      <w:b/>
      <w:bCs/>
      <w:kern w:val="0"/>
      <w:sz w:val="24"/>
      <w:szCs w:val="24"/>
    </w:rPr>
  </w:style>
  <w:style w:type="paragraph" w:styleId="6">
    <w:name w:val="heading 5"/>
    <w:basedOn w:val="1"/>
    <w:next w:val="1"/>
    <w:link w:val="20"/>
    <w:qFormat/>
    <w:uiPriority w:val="0"/>
    <w:pPr>
      <w:widowControl/>
      <w:spacing w:before="100" w:beforeAutospacing="1" w:after="100" w:afterAutospacing="1"/>
      <w:jc w:val="left"/>
      <w:outlineLvl w:val="4"/>
    </w:pPr>
    <w:rPr>
      <w:rFonts w:ascii="宋体" w:hAnsi="宋体" w:eastAsia="宋体" w:cs="宋体"/>
      <w:b/>
      <w:bCs/>
      <w:kern w:val="0"/>
      <w:sz w:val="20"/>
      <w:szCs w:val="20"/>
    </w:rPr>
  </w:style>
  <w:style w:type="paragraph" w:styleId="7">
    <w:name w:val="heading 6"/>
    <w:basedOn w:val="1"/>
    <w:next w:val="1"/>
    <w:link w:val="21"/>
    <w:qFormat/>
    <w:uiPriority w:val="0"/>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8">
    <w:name w:val="footer"/>
    <w:basedOn w:val="1"/>
    <w:link w:val="43"/>
    <w:uiPriority w:val="0"/>
    <w:pPr>
      <w:tabs>
        <w:tab w:val="center" w:pos="4153"/>
        <w:tab w:val="right" w:pos="8306"/>
      </w:tabs>
      <w:snapToGrid w:val="0"/>
      <w:jc w:val="left"/>
    </w:pPr>
    <w:rPr>
      <w:sz w:val="18"/>
      <w:szCs w:val="18"/>
    </w:rPr>
  </w:style>
  <w:style w:type="paragraph" w:styleId="9">
    <w:name w:val="header"/>
    <w:basedOn w:val="1"/>
    <w:link w:val="42"/>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2"/>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styleId="14">
    <w:name w:val="FollowedHyperlink"/>
    <w:basedOn w:val="13"/>
    <w:uiPriority w:val="0"/>
    <w:rPr>
      <w:color w:val="800080"/>
      <w:u w:val="single"/>
    </w:rPr>
  </w:style>
  <w:style w:type="character" w:styleId="15">
    <w:name w:val="Hyperlink"/>
    <w:basedOn w:val="13"/>
    <w:uiPriority w:val="0"/>
    <w:rPr>
      <w:color w:val="0000FF"/>
      <w:u w:val="single"/>
    </w:rPr>
  </w:style>
  <w:style w:type="character" w:customStyle="1" w:styleId="16">
    <w:name w:val="标题 1 Char"/>
    <w:basedOn w:val="13"/>
    <w:link w:val="2"/>
    <w:locked/>
    <w:uiPriority w:val="0"/>
    <w:rPr>
      <w:rFonts w:hint="eastAsia" w:ascii="等线" w:hAnsi="等线" w:eastAsia="等线"/>
      <w:b/>
      <w:bCs/>
      <w:kern w:val="44"/>
      <w:sz w:val="44"/>
      <w:szCs w:val="44"/>
    </w:rPr>
  </w:style>
  <w:style w:type="character" w:customStyle="1" w:styleId="17">
    <w:name w:val="标题 2 Char"/>
    <w:basedOn w:val="13"/>
    <w:link w:val="3"/>
    <w:locked/>
    <w:uiPriority w:val="0"/>
    <w:rPr>
      <w:rFonts w:hint="default" w:asciiTheme="majorHAnsi" w:hAnsiTheme="majorHAnsi" w:eastAsiaTheme="majorEastAsia" w:cstheme="majorBidi"/>
      <w:b/>
      <w:bCs/>
      <w:kern w:val="2"/>
      <w:sz w:val="32"/>
      <w:szCs w:val="32"/>
    </w:rPr>
  </w:style>
  <w:style w:type="character" w:customStyle="1" w:styleId="18">
    <w:name w:val="标题 3 Char"/>
    <w:basedOn w:val="13"/>
    <w:link w:val="4"/>
    <w:locked/>
    <w:uiPriority w:val="0"/>
    <w:rPr>
      <w:rFonts w:hint="eastAsia" w:ascii="等线" w:hAnsi="等线" w:eastAsia="等线"/>
      <w:b/>
      <w:bCs/>
      <w:kern w:val="2"/>
      <w:sz w:val="32"/>
      <w:szCs w:val="32"/>
    </w:rPr>
  </w:style>
  <w:style w:type="character" w:customStyle="1" w:styleId="19">
    <w:name w:val="标题 4 Char"/>
    <w:basedOn w:val="13"/>
    <w:link w:val="5"/>
    <w:locked/>
    <w:uiPriority w:val="0"/>
    <w:rPr>
      <w:rFonts w:hint="default" w:asciiTheme="majorHAnsi" w:hAnsiTheme="majorHAnsi" w:eastAsiaTheme="majorEastAsia" w:cstheme="majorBidi"/>
      <w:b/>
      <w:bCs/>
      <w:kern w:val="2"/>
      <w:sz w:val="28"/>
      <w:szCs w:val="28"/>
    </w:rPr>
  </w:style>
  <w:style w:type="character" w:customStyle="1" w:styleId="20">
    <w:name w:val="标题 5 Char"/>
    <w:basedOn w:val="13"/>
    <w:link w:val="6"/>
    <w:locked/>
    <w:uiPriority w:val="0"/>
    <w:rPr>
      <w:rFonts w:hint="eastAsia" w:ascii="等线" w:hAnsi="等线" w:eastAsia="等线"/>
      <w:b/>
      <w:bCs/>
      <w:kern w:val="2"/>
      <w:sz w:val="28"/>
      <w:szCs w:val="28"/>
    </w:rPr>
  </w:style>
  <w:style w:type="character" w:customStyle="1" w:styleId="21">
    <w:name w:val="标题 6 Char"/>
    <w:basedOn w:val="13"/>
    <w:link w:val="7"/>
    <w:locked/>
    <w:uiPriority w:val="0"/>
    <w:rPr>
      <w:rFonts w:hint="default" w:asciiTheme="majorHAnsi" w:hAnsiTheme="majorHAnsi" w:eastAsiaTheme="majorEastAsia" w:cstheme="majorBidi"/>
      <w:b/>
      <w:bCs/>
      <w:kern w:val="2"/>
      <w:sz w:val="24"/>
      <w:szCs w:val="24"/>
    </w:rPr>
  </w:style>
  <w:style w:type="character" w:customStyle="1" w:styleId="22">
    <w:name w:val="HTML 预设格式 Char"/>
    <w:basedOn w:val="13"/>
    <w:link w:val="10"/>
    <w:locked/>
    <w:uiPriority w:val="0"/>
    <w:rPr>
      <w:rFonts w:hint="default" w:ascii="Courier New" w:hAnsi="Courier New" w:eastAsia="等线" w:cs="Courier New"/>
      <w:kern w:val="2"/>
    </w:rPr>
  </w:style>
  <w:style w:type="paragraph" w:customStyle="1" w:styleId="23">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181"/>
    <w:basedOn w:val="1"/>
    <w:uiPriority w:val="0"/>
  </w:style>
  <w:style w:type="paragraph" w:customStyle="1" w:styleId="25">
    <w:name w:val="普通(网站) Char"/>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HTML 预设格式 Char1"/>
    <w:basedOn w:val="1"/>
    <w:uiPriority w:val="0"/>
    <w:pPr>
      <w:widowControl/>
      <w:jc w:val="left"/>
    </w:pPr>
    <w:rPr>
      <w:rFonts w:ascii="宋体" w:hAnsi="宋体" w:eastAsia="宋体" w:cs="宋体"/>
      <w:kern w:val="0"/>
      <w:sz w:val="24"/>
      <w:szCs w:val="24"/>
    </w:rPr>
  </w:style>
  <w:style w:type="paragraph" w:customStyle="1" w:styleId="27">
    <w:name w:val="普通(网站) Char Char"/>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8">
    <w:name w:val="标题 1 字符"/>
    <w:basedOn w:val="13"/>
    <w:uiPriority w:val="0"/>
    <w:rPr>
      <w:rFonts w:hint="eastAsia" w:ascii="等线" w:hAnsi="等线" w:eastAsia="等线"/>
      <w:b/>
      <w:bCs/>
      <w:kern w:val="44"/>
      <w:sz w:val="44"/>
      <w:szCs w:val="44"/>
    </w:rPr>
  </w:style>
  <w:style w:type="character" w:customStyle="1" w:styleId="29">
    <w:name w:val="标题 2 字符"/>
    <w:basedOn w:val="13"/>
    <w:uiPriority w:val="0"/>
    <w:rPr>
      <w:rFonts w:hint="default" w:asciiTheme="majorHAnsi" w:hAnsiTheme="majorHAnsi" w:eastAsiaTheme="majorEastAsia" w:cstheme="majorBidi"/>
      <w:b/>
      <w:bCs/>
      <w:kern w:val="2"/>
      <w:sz w:val="32"/>
      <w:szCs w:val="32"/>
    </w:rPr>
  </w:style>
  <w:style w:type="character" w:customStyle="1" w:styleId="30">
    <w:name w:val="标题 3 字符"/>
    <w:basedOn w:val="13"/>
    <w:uiPriority w:val="0"/>
    <w:rPr>
      <w:rFonts w:hint="eastAsia" w:ascii="等线" w:hAnsi="等线" w:eastAsia="等线"/>
      <w:b/>
      <w:bCs/>
      <w:kern w:val="2"/>
      <w:sz w:val="32"/>
      <w:szCs w:val="32"/>
    </w:rPr>
  </w:style>
  <w:style w:type="character" w:customStyle="1" w:styleId="31">
    <w:name w:val="标题 4 字符"/>
    <w:basedOn w:val="13"/>
    <w:uiPriority w:val="0"/>
    <w:rPr>
      <w:rFonts w:hint="default" w:asciiTheme="majorHAnsi" w:hAnsiTheme="majorHAnsi" w:eastAsiaTheme="majorEastAsia" w:cstheme="majorBidi"/>
      <w:b/>
      <w:bCs/>
      <w:kern w:val="2"/>
      <w:sz w:val="28"/>
      <w:szCs w:val="28"/>
    </w:rPr>
  </w:style>
  <w:style w:type="character" w:customStyle="1" w:styleId="32">
    <w:name w:val="标题 5 字符"/>
    <w:basedOn w:val="13"/>
    <w:uiPriority w:val="0"/>
    <w:rPr>
      <w:rFonts w:hint="eastAsia" w:ascii="等线" w:hAnsi="等线" w:eastAsia="等线"/>
      <w:b/>
      <w:bCs/>
      <w:kern w:val="2"/>
      <w:sz w:val="28"/>
      <w:szCs w:val="28"/>
    </w:rPr>
  </w:style>
  <w:style w:type="character" w:customStyle="1" w:styleId="33">
    <w:name w:val="标题 6 字符"/>
    <w:basedOn w:val="13"/>
    <w:uiPriority w:val="0"/>
    <w:rPr>
      <w:rFonts w:hint="default" w:asciiTheme="majorHAnsi" w:hAnsiTheme="majorHAnsi" w:eastAsiaTheme="majorEastAsia" w:cstheme="majorBidi"/>
      <w:b/>
      <w:bCs/>
      <w:kern w:val="2"/>
      <w:sz w:val="24"/>
      <w:szCs w:val="24"/>
    </w:rPr>
  </w:style>
  <w:style w:type="character" w:customStyle="1" w:styleId="34">
    <w:name w:val="HTML 预设格式 字符"/>
    <w:basedOn w:val="13"/>
    <w:uiPriority w:val="0"/>
    <w:rPr>
      <w:rFonts w:hint="default" w:ascii="Courier New" w:hAnsi="Courier New" w:eastAsia="等线" w:cs="Courier New"/>
      <w:kern w:val="2"/>
    </w:rPr>
  </w:style>
  <w:style w:type="character" w:customStyle="1" w:styleId="35">
    <w:name w:val="10"/>
    <w:basedOn w:val="13"/>
    <w:uiPriority w:val="0"/>
    <w:rPr>
      <w:rFonts w:hint="default" w:ascii="Times New Roman" w:hAnsi="Times New Roman" w:cs="Times New Roman"/>
    </w:rPr>
  </w:style>
  <w:style w:type="character" w:customStyle="1" w:styleId="36">
    <w:name w:val="15"/>
    <w:basedOn w:val="13"/>
    <w:uiPriority w:val="0"/>
    <w:rPr>
      <w:rFonts w:hint="default" w:ascii="Times New Roman" w:hAnsi="Times New Roman" w:cs="Times New Roman"/>
      <w:color w:val="0000FF"/>
      <w:u w:val="single"/>
    </w:rPr>
  </w:style>
  <w:style w:type="character" w:customStyle="1" w:styleId="37">
    <w:name w:val="16"/>
    <w:basedOn w:val="13"/>
    <w:uiPriority w:val="0"/>
    <w:rPr>
      <w:rFonts w:hint="default" w:ascii="Times New Roman" w:hAnsi="Times New Roman" w:cs="Times New Roman"/>
    </w:rPr>
  </w:style>
  <w:style w:type="character" w:customStyle="1" w:styleId="38">
    <w:name w:val="17"/>
    <w:basedOn w:val="13"/>
    <w:uiPriority w:val="0"/>
    <w:rPr>
      <w:rFonts w:hint="default" w:ascii="Times New Roman" w:hAnsi="Times New Roman" w:cs="Times New Roman"/>
      <w:color w:val="0000FF"/>
      <w:u w:val="single"/>
    </w:rPr>
  </w:style>
  <w:style w:type="character" w:customStyle="1" w:styleId="39">
    <w:name w:val="18"/>
    <w:basedOn w:val="13"/>
    <w:uiPriority w:val="0"/>
    <w:rPr>
      <w:rFonts w:hint="default" w:ascii="Times New Roman" w:hAnsi="Times New Roman" w:cs="Times New Roman"/>
    </w:rPr>
  </w:style>
  <w:style w:type="character" w:customStyle="1" w:styleId="40">
    <w:name w:val="19"/>
    <w:basedOn w:val="13"/>
    <w:uiPriority w:val="0"/>
    <w:rPr>
      <w:rFonts w:hint="default" w:ascii="Times New Roman" w:hAnsi="Times New Roman" w:cs="Times New Roman"/>
      <w:b/>
    </w:rPr>
  </w:style>
  <w:style w:type="character" w:customStyle="1" w:styleId="41">
    <w:name w:val="20"/>
    <w:basedOn w:val="13"/>
    <w:uiPriority w:val="0"/>
    <w:rPr>
      <w:rFonts w:hint="default" w:ascii="Times New Roman" w:hAnsi="Times New Roman" w:cs="Times New Roman"/>
      <w:color w:val="0000FF"/>
      <w:u w:val="single"/>
    </w:rPr>
  </w:style>
  <w:style w:type="character" w:customStyle="1" w:styleId="42">
    <w:name w:val="页眉 Char"/>
    <w:basedOn w:val="13"/>
    <w:link w:val="9"/>
    <w:uiPriority w:val="0"/>
    <w:rPr>
      <w:rFonts w:ascii="等线" w:hAnsi="等线" w:eastAsia="等线"/>
      <w:kern w:val="2"/>
      <w:sz w:val="18"/>
      <w:szCs w:val="18"/>
    </w:rPr>
  </w:style>
  <w:style w:type="character" w:customStyle="1" w:styleId="43">
    <w:name w:val="页脚 Char"/>
    <w:basedOn w:val="13"/>
    <w:link w:val="8"/>
    <w:uiPriority w:val="0"/>
    <w:rPr>
      <w:rFonts w:ascii="等线" w:hAnsi="等线" w:eastAsia="等线"/>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28</Pages>
  <Words>12044</Words>
  <Characters>15300</Characters>
  <Lines>135</Lines>
  <Paragraphs>38</Paragraphs>
  <TotalTime>0</TotalTime>
  <ScaleCrop>false</ScaleCrop>
  <LinksUpToDate>false</LinksUpToDate>
  <CharactersWithSpaces>16787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2022-08-26T09:32:00Z</dcterms:created>
  <dc:creator>Administrator</dc:creator>
  <cp:lastModifiedBy>Administrator</cp:lastModifiedBy>
  <dcterms:modified xsi:type="dcterms:W3CDTF">2022-08-29T07:44:02Z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74E50F3BB9254303AF02AC7A6BBD586A</vt:lpwstr>
  </property>
</Properties>
</file>