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21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1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FF0000"/>
                <w:w w:val="68"/>
                <w:sz w:val="11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w w:val="68"/>
                <w:sz w:val="130"/>
                <w:szCs w:val="130"/>
                <w:lang w:val="en-US" w:eastAsia="zh-CN"/>
              </w:rPr>
              <w:t>益阳市资阳区民政局</w:t>
            </w:r>
          </w:p>
        </w:tc>
      </w:tr>
    </w:tbl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447040</wp:posOffset>
                </wp:positionV>
                <wp:extent cx="54864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5.2pt;height:0pt;width:432pt;z-index:251658240;mso-width-relative:page;mso-height-relative:page;" filled="f" stroked="t" coordsize="21600,21600" o:gfxdata="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fUsWDVAAAABgEAAA8AAAAAAAAAAQAgAAAAIgAAAGRycy9kb3ducmV2Lnht&#10;bFBLAQIUABQAAAAIAIdO4kDXqPja/AEAAPMDAAAOAAAAAAAAAAEAIAAAACQBAABkcnMvZTJvRG9j&#10;LnhtbFBLBQYAAAAABgAGAFkBAACS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100" w:beforeAutospacing="1" w:after="100" w:afterAutospacing="1" w:line="600" w:lineRule="exact"/>
        <w:ind w:right="641"/>
        <w:jc w:val="center"/>
        <w:rPr>
          <w:rFonts w:ascii="Times New Roman" w:hAnsi="Times New Roman" w:cs="Times New Roman" w:eastAsiaTheme="majorEastAsia"/>
          <w:b/>
          <w:bCs/>
          <w:sz w:val="44"/>
          <w:szCs w:val="44"/>
        </w:rPr>
      </w:pPr>
    </w:p>
    <w:p>
      <w:pPr>
        <w:spacing w:before="100" w:beforeAutospacing="1" w:after="100" w:afterAutospacing="1" w:line="579" w:lineRule="exact"/>
        <w:ind w:right="641"/>
        <w:jc w:val="center"/>
        <w:rPr>
          <w:rFonts w:hint="eastAsia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益阳市资阳区</w:t>
      </w:r>
      <w:r>
        <w:rPr>
          <w:rFonts w:ascii="Times New Roman" w:hAnsi="Times New Roman" w:cs="Times New Roman" w:eastAsiaTheme="majorEastAsia"/>
          <w:b/>
          <w:bCs/>
          <w:sz w:val="44"/>
          <w:szCs w:val="44"/>
        </w:rPr>
        <w:t>民政</w:t>
      </w:r>
      <w:r>
        <w:rPr>
          <w:rFonts w:hint="eastAsia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局</w:t>
      </w:r>
    </w:p>
    <w:p>
      <w:pPr>
        <w:spacing w:before="100" w:beforeAutospacing="1" w:after="100" w:afterAutospacing="1" w:line="579" w:lineRule="exact"/>
        <w:ind w:right="641"/>
        <w:jc w:val="center"/>
        <w:rPr>
          <w:rFonts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ascii="Times New Roman" w:hAnsi="Times New Roman" w:cs="Times New Roman" w:eastAsiaTheme="majorEastAsia"/>
          <w:b/>
          <w:bCs/>
          <w:sz w:val="44"/>
          <w:szCs w:val="44"/>
        </w:rPr>
        <w:t xml:space="preserve">  20</w:t>
      </w:r>
      <w:r>
        <w:rPr>
          <w:rFonts w:hint="eastAsia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20</w:t>
      </w:r>
      <w:r>
        <w:rPr>
          <w:rFonts w:ascii="Times New Roman" w:hAnsi="Times New Roman" w:cs="Times New Roman" w:eastAsiaTheme="majorEastAsia"/>
          <w:b/>
          <w:bCs/>
          <w:sz w:val="44"/>
          <w:szCs w:val="44"/>
        </w:rPr>
        <w:t>年度部门整体支出绩效评价报告</w:t>
      </w:r>
    </w:p>
    <w:p>
      <w:pPr>
        <w:spacing w:before="100" w:beforeAutospacing="1" w:after="100" w:afterAutospacing="1" w:line="579" w:lineRule="exact"/>
        <w:ind w:right="641"/>
        <w:jc w:val="center"/>
        <w:rPr>
          <w:rFonts w:ascii="Times New Roman" w:hAnsi="Times New Roman" w:cs="Times New Roman" w:eastAsiaTheme="majorEastAsia"/>
          <w:b/>
          <w:bCs/>
          <w:sz w:val="44"/>
          <w:szCs w:val="44"/>
        </w:rPr>
      </w:pPr>
    </w:p>
    <w:p>
      <w:pPr>
        <w:pStyle w:val="2"/>
        <w:spacing w:line="579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为进一步规范财政资金管理，牢固树立预算绩效理念，强化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支出责任，提高财政资金使用效益，</w:t>
      </w:r>
      <w:r>
        <w:rPr>
          <w:rFonts w:ascii="Times New Roman" w:hAnsi="Times New Roman" w:eastAsia="仿宋_GB2312" w:cs="Times New Roman"/>
          <w:sz w:val="32"/>
          <w:szCs w:val="32"/>
        </w:rPr>
        <w:t>根据《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益阳市资阳区</w:t>
      </w:r>
      <w:r>
        <w:rPr>
          <w:rFonts w:ascii="Times New Roman" w:hAnsi="Times New Roman" w:eastAsia="仿宋_GB2312" w:cs="Times New Roman"/>
          <w:sz w:val="32"/>
          <w:szCs w:val="32"/>
        </w:rPr>
        <w:t>财政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ascii="Times New Roman" w:hAnsi="Times New Roman" w:eastAsia="仿宋_GB2312" w:cs="Times New Roman"/>
          <w:sz w:val="32"/>
          <w:szCs w:val="32"/>
        </w:rPr>
        <w:t>关于开展20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预算</w:t>
      </w:r>
      <w:r>
        <w:rPr>
          <w:rFonts w:ascii="Times New Roman" w:hAnsi="Times New Roman" w:eastAsia="仿宋_GB2312" w:cs="Times New Roman"/>
          <w:sz w:val="32"/>
          <w:szCs w:val="32"/>
        </w:rPr>
        <w:t>绩效自评工作的通知》（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益资</w:t>
      </w:r>
      <w:r>
        <w:rPr>
          <w:rFonts w:ascii="Times New Roman" w:hAnsi="Times New Roman" w:eastAsia="仿宋_GB2312" w:cs="Times New Roman"/>
          <w:sz w:val="32"/>
          <w:szCs w:val="32"/>
        </w:rPr>
        <w:t>财〔202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号）要求，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我局</w:t>
      </w:r>
      <w:r>
        <w:rPr>
          <w:rFonts w:ascii="Times New Roman" w:hAnsi="Times New Roman" w:eastAsia="仿宋_GB2312" w:cs="Times New Roman"/>
          <w:sz w:val="32"/>
          <w:szCs w:val="32"/>
        </w:rPr>
        <w:t>组织开展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了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年度部门整体支出绩效自评工作，现将绩效评价情况及评价结果报告如下：</w:t>
      </w:r>
    </w:p>
    <w:p>
      <w:pPr>
        <w:numPr>
          <w:ilvl w:val="0"/>
          <w:numId w:val="1"/>
        </w:numPr>
        <w:spacing w:line="579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部门基本情况</w:t>
      </w:r>
    </w:p>
    <w:p>
      <w:pPr>
        <w:pStyle w:val="2"/>
        <w:spacing w:line="579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资阳区民政局</w:t>
      </w:r>
      <w:r>
        <w:rPr>
          <w:rFonts w:hint="eastAsia" w:ascii="仿宋_GB2312" w:eastAsia="仿宋_GB2312"/>
          <w:sz w:val="32"/>
          <w:szCs w:val="32"/>
        </w:rPr>
        <w:t>贯彻落实党中央和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委关于民政工作的方针政策和决策部署，在履行职责过程中坚持和加强党对民政工作的集中统一领导，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主要职</w:t>
      </w:r>
      <w:r>
        <w:rPr>
          <w:rFonts w:ascii="Times New Roman" w:hAnsi="Times New Roman" w:eastAsia="仿宋_GB2312" w:cs="Times New Roman"/>
          <w:sz w:val="32"/>
          <w:szCs w:val="32"/>
        </w:rPr>
        <w:t>责是：拟订全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民政事业发展规划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和政策</w:t>
      </w:r>
      <w:r>
        <w:rPr>
          <w:rFonts w:ascii="Times New Roman" w:hAnsi="Times New Roman" w:eastAsia="仿宋_GB2312" w:cs="Times New Roman"/>
          <w:sz w:val="32"/>
          <w:szCs w:val="32"/>
        </w:rPr>
        <w:t>并组织实施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和监督检查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拟订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对</w:t>
      </w:r>
      <w:r>
        <w:rPr>
          <w:rFonts w:ascii="Times New Roman" w:hAnsi="Times New Roman" w:eastAsia="仿宋_GB2312" w:cs="Times New Roman"/>
          <w:sz w:val="32"/>
          <w:szCs w:val="32"/>
        </w:rPr>
        <w:t>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社会团体、基金会、社会服务机构等社会组织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进行</w:t>
      </w:r>
      <w:r>
        <w:rPr>
          <w:rFonts w:ascii="Times New Roman" w:hAnsi="Times New Roman" w:eastAsia="仿宋_GB2312" w:cs="Times New Roman"/>
          <w:sz w:val="32"/>
          <w:szCs w:val="32"/>
        </w:rPr>
        <w:t>登记管理和执法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监督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拟订全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社会救助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规划、制度和</w:t>
      </w:r>
      <w:r>
        <w:rPr>
          <w:rFonts w:ascii="Times New Roman" w:hAnsi="Times New Roman" w:eastAsia="仿宋_GB2312" w:cs="Times New Roman"/>
          <w:sz w:val="32"/>
          <w:szCs w:val="32"/>
        </w:rPr>
        <w:t>标准，负责城乡居民最低生活保障、特困人员救助供养、临时救助、生活无着流浪乞讨人员救助工作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拟订全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城乡基层群众自治建设和社区治理政策，指导城乡社区治理体系和治理能力建设，提出加强和改进城乡基层政权建设的建议，推动基层民主政治建设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拟订全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行政区划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总体规划，组织行政</w:t>
      </w:r>
      <w:r>
        <w:rPr>
          <w:rFonts w:ascii="Times New Roman" w:hAnsi="Times New Roman" w:eastAsia="仿宋_GB2312" w:cs="Times New Roman"/>
          <w:sz w:val="32"/>
          <w:szCs w:val="32"/>
        </w:rPr>
        <w:t>区域界线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的勘定和管理工作，</w:t>
      </w:r>
      <w:r>
        <w:rPr>
          <w:rFonts w:ascii="Times New Roman" w:hAnsi="Times New Roman" w:eastAsia="仿宋_GB2312" w:cs="Times New Roman"/>
          <w:sz w:val="32"/>
          <w:szCs w:val="32"/>
        </w:rPr>
        <w:t>负责地名管理工作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贯彻实施有关</w:t>
      </w:r>
      <w:r>
        <w:rPr>
          <w:rFonts w:ascii="Times New Roman" w:hAnsi="Times New Roman" w:eastAsia="仿宋_GB2312" w:cs="Times New Roman"/>
          <w:sz w:val="32"/>
          <w:szCs w:val="32"/>
        </w:rPr>
        <w:t>婚姻管理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法规和</w:t>
      </w:r>
      <w:r>
        <w:rPr>
          <w:rFonts w:ascii="Times New Roman" w:hAnsi="Times New Roman" w:eastAsia="仿宋_GB2312" w:cs="Times New Roman"/>
          <w:sz w:val="32"/>
          <w:szCs w:val="32"/>
        </w:rPr>
        <w:t>政策，推进婚俗改革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拟订全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殡葬管理政策、服务规范并组织实施，推进殡葬改革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统筹推进、督促指导、监督管理养老服务工作，拟订全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养老服务体系建设规划、政策、标准并组织实施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贯彻实施有关</w:t>
      </w:r>
      <w:r>
        <w:rPr>
          <w:rFonts w:ascii="Times New Roman" w:hAnsi="Times New Roman" w:eastAsia="仿宋_GB2312" w:cs="Times New Roman"/>
          <w:sz w:val="32"/>
          <w:szCs w:val="32"/>
        </w:rPr>
        <w:t>残疾人权益保护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的法律法规和</w:t>
      </w:r>
      <w:r>
        <w:rPr>
          <w:rFonts w:ascii="Times New Roman" w:hAnsi="Times New Roman" w:eastAsia="仿宋_GB2312" w:cs="Times New Roman"/>
          <w:sz w:val="32"/>
          <w:szCs w:val="32"/>
        </w:rPr>
        <w:t>政策，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落实</w:t>
      </w:r>
      <w:r>
        <w:rPr>
          <w:rFonts w:ascii="Times New Roman" w:hAnsi="Times New Roman" w:eastAsia="仿宋_GB2312" w:cs="Times New Roman"/>
          <w:sz w:val="32"/>
          <w:szCs w:val="32"/>
        </w:rPr>
        <w:t>残疾人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两项补贴</w:t>
      </w:r>
      <w:r>
        <w:rPr>
          <w:rFonts w:ascii="Times New Roman" w:hAnsi="Times New Roman" w:eastAsia="仿宋_GB2312" w:cs="Times New Roman"/>
          <w:sz w:val="32"/>
          <w:szCs w:val="32"/>
        </w:rPr>
        <w:t>福利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待遇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贯彻实施有关</w:t>
      </w:r>
      <w:r>
        <w:rPr>
          <w:rFonts w:ascii="Times New Roman" w:hAnsi="Times New Roman" w:eastAsia="仿宋_GB2312" w:cs="Times New Roman"/>
          <w:sz w:val="32"/>
          <w:szCs w:val="32"/>
        </w:rPr>
        <w:t>儿童福利、孤弃儿童保障、儿童收养、儿童救助保护政策、标准，健全农村留守儿童关爱服务体系和困境儿童保障制度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拟订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促进</w:t>
      </w:r>
      <w:r>
        <w:rPr>
          <w:rFonts w:ascii="Times New Roman" w:hAnsi="Times New Roman" w:eastAsia="仿宋_GB2312" w:cs="Times New Roman"/>
          <w:sz w:val="32"/>
          <w:szCs w:val="32"/>
        </w:rPr>
        <w:t>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慈善事业发展政策，指导社会捐助工作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拟订全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社会工作、志愿服务政策和标准，会同有关部门推进社会工作人才队伍建设和志愿者队伍建设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完成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政府交办的其他任务。</w:t>
      </w:r>
    </w:p>
    <w:p>
      <w:pPr>
        <w:pStyle w:val="2"/>
        <w:spacing w:line="579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资阳区民政局</w:t>
      </w:r>
      <w:r>
        <w:rPr>
          <w:rFonts w:ascii="Times New Roman" w:hAnsi="Times New Roman" w:eastAsia="仿宋_GB2312" w:cs="Times New Roman"/>
          <w:sz w:val="32"/>
          <w:szCs w:val="32"/>
        </w:rPr>
        <w:t>共有行政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股</w:t>
      </w:r>
      <w:r>
        <w:rPr>
          <w:rFonts w:ascii="Times New Roman" w:hAnsi="Times New Roman" w:eastAsia="仿宋_GB2312" w:cs="Times New Roman"/>
          <w:sz w:val="32"/>
          <w:szCs w:val="32"/>
        </w:rPr>
        <w:t>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，直属事业单位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个，其中纳入部门预决算范围的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个，为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益阳市社会福利院、益阳市儿童福利院、益阳市社区服务总站、益阳市资阳区婚姻服务中心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ascii="Times New Roman" w:hAnsi="Times New Roman" w:eastAsia="仿宋_GB2312" w:cs="Times New Roman"/>
          <w:sz w:val="32"/>
          <w:szCs w:val="32"/>
        </w:rPr>
        <w:t>机关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年末实有在职人员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13"/>
        <w:widowControl/>
        <w:numPr>
          <w:ilvl w:val="0"/>
          <w:numId w:val="1"/>
        </w:numPr>
        <w:spacing w:line="579" w:lineRule="exact"/>
        <w:ind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pStyle w:val="13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2020年度财政拨款支出决算数为9480.26万元，主要用于以下方面：一般公共服务支出1.2万元，占0.01%；社会保障和就业支出9259.88万元，占97.68%;卫生健康支出173.75万元，占1.83%；农林水支出20万元，占0.21%；住房保障支出22.07万元，占0.23%；灾害防治及应急管理支出3.36万元，占0.04%。</w:t>
      </w:r>
    </w:p>
    <w:p>
      <w:pPr>
        <w:pStyle w:val="13"/>
        <w:widowControl/>
        <w:numPr>
          <w:ilvl w:val="0"/>
          <w:numId w:val="2"/>
        </w:numPr>
        <w:spacing w:line="579" w:lineRule="exact"/>
        <w:ind w:firstLine="643"/>
        <w:rPr>
          <w:rFonts w:ascii="Times New Roman" w:hAnsi="Times New Roman" w:eastAsia="楷体GB2312" w:cs="Times New Roman"/>
          <w:b/>
          <w:bCs/>
          <w:sz w:val="32"/>
          <w:szCs w:val="32"/>
        </w:rPr>
      </w:pPr>
      <w:r>
        <w:rPr>
          <w:rFonts w:ascii="Times New Roman" w:hAnsi="Times New Roman" w:eastAsia="楷体GB2312" w:cs="Times New Roman"/>
          <w:b/>
          <w:bCs/>
          <w:sz w:val="32"/>
          <w:szCs w:val="32"/>
        </w:rPr>
        <w:t>基本支出情况</w:t>
      </w:r>
    </w:p>
    <w:p>
      <w:pPr>
        <w:pStyle w:val="13"/>
        <w:widowControl/>
        <w:numPr>
          <w:ilvl w:val="0"/>
          <w:numId w:val="0"/>
        </w:num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2020年度财政拨款基本支出657.71万元，其中：人员经费496.81万元，占基本支出的75.54%,主要包括基本工资、津贴补贴、奖金、基本养老保险缴费、职业年金、医疗保险缴费、住房公积金等；公用经费160.91万元，占基本支出的24.46%，主要包括办公费、印刷费、咨询费、手续费、水电费、维修（护）费、物业费、劳务费、公务接待费、培训费、差旅费、工会费、福利费、办公设备购置等。</w:t>
      </w:r>
    </w:p>
    <w:p>
      <w:pPr>
        <w:numPr>
          <w:ilvl w:val="0"/>
          <w:numId w:val="2"/>
        </w:numPr>
        <w:adjustRightInd w:val="0"/>
        <w:snapToGrid w:val="0"/>
        <w:spacing w:line="579" w:lineRule="exact"/>
        <w:ind w:left="0" w:leftChars="0" w:firstLine="643" w:firstLineChars="200"/>
        <w:rPr>
          <w:rFonts w:hint="eastAsia" w:ascii="Times New Roman" w:hAnsi="Times New Roman" w:eastAsia="楷体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楷体GB2312" w:cs="Times New Roman"/>
          <w:b/>
          <w:bCs/>
          <w:sz w:val="32"/>
          <w:szCs w:val="32"/>
        </w:rPr>
        <w:t>“三公”经费财政拨款支出具体情况</w:t>
      </w:r>
    </w:p>
    <w:p>
      <w:pPr>
        <w:pStyle w:val="13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2020年度“三公”经费财政拨款支出决算中，公务接待费支出决算6.52万元,主要是招商引资和立项争资力度较大。</w:t>
      </w:r>
    </w:p>
    <w:p>
      <w:pPr>
        <w:widowControl/>
        <w:numPr>
          <w:ilvl w:val="0"/>
          <w:numId w:val="3"/>
        </w:numPr>
        <w:spacing w:line="579" w:lineRule="exact"/>
        <w:ind w:firstLine="640" w:firstLineChars="200"/>
        <w:rPr>
          <w:rFonts w:ascii="Times New Roman" w:hAnsi="Times New Roman" w:eastAsia="黑体" w:cs="Times New Roman"/>
          <w:color w:val="333333"/>
          <w:sz w:val="32"/>
          <w:szCs w:val="32"/>
        </w:rPr>
      </w:pPr>
      <w:r>
        <w:rPr>
          <w:rFonts w:ascii="Times New Roman" w:hAnsi="Times New Roman" w:eastAsia="黑体" w:cs="Times New Roman"/>
          <w:color w:val="333333"/>
          <w:sz w:val="32"/>
          <w:szCs w:val="32"/>
        </w:rPr>
        <w:t>政府性基金预算支出情况</w:t>
      </w:r>
    </w:p>
    <w:p>
      <w:pPr>
        <w:pStyle w:val="13"/>
        <w:widowControl/>
        <w:numPr>
          <w:ilvl w:val="255"/>
          <w:numId w:val="0"/>
        </w:num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财政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ascii="Times New Roman" w:hAnsi="Times New Roman" w:eastAsia="仿宋_GB2312" w:cs="Times New Roman"/>
          <w:sz w:val="32"/>
          <w:szCs w:val="32"/>
        </w:rPr>
        <w:t>批复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民政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ascii="Times New Roman" w:hAnsi="Times New Roman" w:eastAsia="仿宋_GB2312" w:cs="Times New Roman"/>
          <w:sz w:val="32"/>
          <w:szCs w:val="32"/>
        </w:rPr>
        <w:t>政府性基金预算收入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2243.63</w:t>
      </w:r>
      <w:r>
        <w:rPr>
          <w:rFonts w:ascii="Times New Roman" w:hAnsi="Times New Roman" w:eastAsia="仿宋_GB2312" w:cs="Times New Roman"/>
          <w:sz w:val="32"/>
          <w:szCs w:val="32"/>
        </w:rPr>
        <w:t>万元，上年结转结余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128.63</w:t>
      </w:r>
      <w:r>
        <w:rPr>
          <w:rFonts w:ascii="Times New Roman" w:hAnsi="Times New Roman" w:eastAsia="仿宋_GB2312" w:cs="Times New Roman"/>
          <w:sz w:val="32"/>
          <w:szCs w:val="32"/>
        </w:rPr>
        <w:t>万元，全年政府性基金预算支出共计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1864.39</w:t>
      </w:r>
      <w:r>
        <w:rPr>
          <w:rFonts w:ascii="Times New Roman" w:hAnsi="Times New Roman" w:eastAsia="仿宋_GB2312" w:cs="Times New Roman"/>
          <w:sz w:val="32"/>
          <w:szCs w:val="32"/>
        </w:rPr>
        <w:t>元。年末结转结余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507.87</w:t>
      </w:r>
      <w:r>
        <w:rPr>
          <w:rFonts w:ascii="Times New Roman" w:hAnsi="Times New Roman" w:eastAsia="仿宋_GB2312" w:cs="Times New Roman"/>
          <w:sz w:val="32"/>
          <w:szCs w:val="32"/>
        </w:rPr>
        <w:t>万元。</w:t>
      </w:r>
    </w:p>
    <w:p>
      <w:pPr>
        <w:pStyle w:val="13"/>
        <w:widowControl/>
        <w:numPr>
          <w:ilvl w:val="0"/>
          <w:numId w:val="3"/>
        </w:numPr>
        <w:spacing w:line="579" w:lineRule="exact"/>
        <w:ind w:firstLine="640"/>
        <w:rPr>
          <w:rFonts w:ascii="Times New Roman" w:hAnsi="Times New Roman" w:eastAsia="黑体" w:cs="Times New Roman"/>
          <w:color w:val="333333"/>
          <w:sz w:val="32"/>
          <w:szCs w:val="32"/>
        </w:rPr>
      </w:pPr>
      <w:r>
        <w:rPr>
          <w:rFonts w:ascii="Times New Roman" w:hAnsi="Times New Roman" w:eastAsia="黑体" w:cs="Times New Roman"/>
          <w:color w:val="333333"/>
          <w:sz w:val="32"/>
          <w:szCs w:val="32"/>
        </w:rPr>
        <w:t>国有资本经营预算支出情况</w:t>
      </w:r>
    </w:p>
    <w:p>
      <w:pPr>
        <w:pStyle w:val="13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eastAsia" w:ascii="仿宋_GB2312" w:hAnsi="Times New Roman" w:eastAsia="仿宋_GB2312" w:cs="Times New Roman"/>
          <w:sz w:val="32"/>
          <w:szCs w:val="32"/>
        </w:rPr>
        <w:t>民政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无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国有资本经营预算支出。</w:t>
      </w:r>
    </w:p>
    <w:p>
      <w:pPr>
        <w:pStyle w:val="13"/>
        <w:widowControl/>
        <w:numPr>
          <w:ilvl w:val="0"/>
          <w:numId w:val="3"/>
        </w:numPr>
        <w:spacing w:line="579" w:lineRule="exact"/>
        <w:ind w:firstLine="640"/>
        <w:rPr>
          <w:rFonts w:ascii="Times New Roman" w:hAnsi="Times New Roman" w:eastAsia="黑体" w:cs="Times New Roman"/>
          <w:color w:val="333333"/>
          <w:sz w:val="32"/>
          <w:szCs w:val="32"/>
        </w:rPr>
      </w:pPr>
      <w:r>
        <w:rPr>
          <w:rFonts w:ascii="Times New Roman" w:hAnsi="Times New Roman" w:eastAsia="黑体" w:cs="Times New Roman"/>
          <w:color w:val="333333"/>
          <w:sz w:val="32"/>
          <w:szCs w:val="32"/>
        </w:rPr>
        <w:t>社会保险基金预算支出情况</w:t>
      </w:r>
    </w:p>
    <w:p>
      <w:pPr>
        <w:pStyle w:val="13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eastAsia" w:ascii="仿宋_GB2312" w:hAnsi="Times New Roman" w:eastAsia="仿宋_GB2312" w:cs="Times New Roman"/>
          <w:sz w:val="32"/>
          <w:szCs w:val="32"/>
        </w:rPr>
        <w:t>民政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局无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社会保险基金预算支出。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六、部门整体支出绩效情况</w:t>
      </w:r>
    </w:p>
    <w:p>
      <w:pPr>
        <w:widowControl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资阳区民政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深入贯彻党的十九大精神和习近平新时代中国特色社会主义思想，牢固树立“以民为本、为民解困、为民服务”宗旨，秉承“民政为民，民政爱民”理念，坚持“五化”民政工作思路，围绕年初工作目标，稳步推进各项工作，全区民政事业取得新发展、新提升。经自评，区民政局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年度部门整体支出绩效评价得分9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</w:t>
      </w:r>
      <w:r>
        <w:rPr>
          <w:rFonts w:ascii="Times New Roman" w:hAnsi="Times New Roman" w:eastAsia="仿宋_GB2312" w:cs="Times New Roman"/>
          <w:sz w:val="32"/>
          <w:szCs w:val="32"/>
        </w:rPr>
        <w:t>（详见附件）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部门整体支出绩效为“优”。主要绩效如下：</w:t>
      </w:r>
    </w:p>
    <w:p>
      <w:pPr>
        <w:widowControl/>
        <w:spacing w:line="579" w:lineRule="exact"/>
        <w:ind w:firstLine="643" w:firstLineChars="200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（一）基本民生保障有力</w:t>
      </w:r>
    </w:p>
    <w:p>
      <w:pPr>
        <w:widowControl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社会救助做到应保尽保。全面履行民政部门在脱贫攻坚中职责使命，全力冲刺脱贫攻坚兜底保障工作，会同区扶贫办开展社会救助兜底保障专项治理，切实做到城乡低保应保尽保。</w:t>
      </w:r>
    </w:p>
    <w:p>
      <w:pPr>
        <w:widowControl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救助对象保障水平持续提高。坚决落实省、市文件精神，城市低保标准提高到520元/月，人均补差达340元/月；农村低保提高到4020元/年，人均补差达214.5元/月。城市特困人员供养标准提高到676元/月、农村特困人员供养标准提高到5226元/年。落实物价上涨调节机制，按月发放物价补贴。</w:t>
      </w:r>
    </w:p>
    <w:p>
      <w:pPr>
        <w:widowControl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临时救助及时有效。完善乡镇街道临时救助备用金制度，提高“救急难”快速发现和主动响应能力，救助临时性困难群众7000余人，发放救助资金600余万元。</w:t>
      </w:r>
    </w:p>
    <w:p>
      <w:pPr>
        <w:widowControl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残疾人两项补贴落实到位。残疾人两项补贴标准由每人每月60元提高到65元，完成为民办实事任务。发放残疾人两补资金560万余元，惠及困难残疾人3102人、重度残疾人4134人。</w:t>
      </w:r>
    </w:p>
    <w:p>
      <w:pPr>
        <w:widowControl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儿童关爱保障推进有力。严格按要求落实孤儿保障政策，按标准足额发放孤儿、事实无人抚养儿童的生活补助。开展福彩圆梦·孤儿助学工程，发放孤儿助学金4万元。完成留守儿童之家建设任务，投入资金108万元，建成农村留守儿童之家36个，实现建制村留守儿童之家覆盖率100%。</w:t>
      </w:r>
    </w:p>
    <w:p>
      <w:pPr>
        <w:widowControl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慈善事业蓬勃发展。积极发布疫情防控慈善募捐倡议，接收社会爱心捐赠资金、物资约34万元。积极开展慈善一日捐“九九公益”活动，募集慈善资金66万余元。慈善爱心助学10万元，圆梦贫困大学新生60名，慰问孤儿和困境儿童家庭11户。促成“爸妈食堂”试点公益项目在资阳落地。建成建新里和三圣殿慈善超市2个。</w:t>
      </w:r>
    </w:p>
    <w:p>
      <w:pPr>
        <w:widowControl/>
        <w:spacing w:line="579" w:lineRule="exact"/>
        <w:ind w:firstLine="643" w:firstLineChars="200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（二）基本社会服务规范优化</w:t>
      </w:r>
    </w:p>
    <w:p>
      <w:pPr>
        <w:widowControl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养老服务质量稳步提升。扎实开展养老机构疫情防控工作，派驻养老机构联络员26名，开展疫情防控指导督查10轮，确保民政服务机构运转安全有序。妥善处置纳诺老年公寓事件，化解了我区信访压力，积极稳妥转移入住老人209名，切实维护我区经济社会发展稳定大局。持续开展养老服务质量建设专项行动，完善养老机构信息录入。</w:t>
      </w:r>
    </w:p>
    <w:p>
      <w:pPr>
        <w:widowControl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持续推进殡葬改革。广泛开展殡葬改革宣传教育，持续开展“殡葬领域突出问题”专项整治行动，整治违规大墓12个，整治城区违规私搭灵堂18处。发放殡葬改革惠民补贴10000余元。积极推进乡镇农村公益性公墓建设，茈湖口镇、新桥河镇2个公墓启动建设，其余乡镇正在有序推进当中。</w:t>
      </w:r>
    </w:p>
    <w:p>
      <w:pPr>
        <w:widowControl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社会事务管理更加优化。规范婚登管理，优化婚姻登记颁证服务，着力提升群众满意度，婚姻登记合格率达100%。流浪乞讨人员救助站完成整体搬迁并投入使用，深入开展“寒冬送温暖、夏季送清凉”、“提升服务质量，履行兜底职责”主题开放日活动，拓展寻亲服务手段，救助流浪乞讨对象260人次，送返对象9人。</w:t>
      </w:r>
    </w:p>
    <w:p>
      <w:pPr>
        <w:widowControl/>
        <w:spacing w:line="579" w:lineRule="exact"/>
        <w:ind w:firstLine="643" w:firstLineChars="200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（三）基层社会治理稳步发展</w:t>
      </w:r>
    </w:p>
    <w:p>
      <w:pPr>
        <w:widowControl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城乡社区治理全面加强。扎实开展村规民约、居民公约合法性审核和修订，依法依规开展民政领域扫黑除恶专项斗争。完善的公共服务平台，实现基层公共服务“一门式”全覆盖。结合“一门式”全覆盖工作，集中整治规范村（社区）组织活动场所挂牌工作，破除“门上、墙上形式主义”。配合组织部门，对村（社区）书记主任“一肩挑”开展摸底调研，积极谋划来年村（居）换届工作，基本完成沙头镇村支两委换届试点任务。</w:t>
      </w:r>
    </w:p>
    <w:p>
      <w:pPr>
        <w:widowControl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社会组织管理更加规范。强化社会组织综合管理，按时开展社会组织年检年审，积极引导社会组织参与脱贫攻坚和乡村振兴建设。依法开展社会组织登记管理和社区社会组织备案管理，2020年依法登记社会组织22家，其中民办非企业21家、社会团体1家。</w:t>
      </w:r>
    </w:p>
    <w:p>
      <w:pPr>
        <w:widowControl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社会工作影响扩大。巩固乡镇社会工作站建设成果，切实发挥社工站在基层民政工作中的服务职能。全年开展社会工作实践活动25场，组织了为期3天的社工师考前培训和社工周宣传活动，大力推进社会工作走向市民生活，助力基层社会治理水平不断提升。</w:t>
      </w:r>
    </w:p>
    <w:p>
      <w:pPr>
        <w:widowControl/>
        <w:spacing w:line="579" w:lineRule="exact"/>
        <w:ind w:firstLine="643" w:firstLineChars="200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（四）抓好民政自身建设</w:t>
      </w:r>
    </w:p>
    <w:p>
      <w:pPr>
        <w:widowControl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扎实开展党风廉政建设，提升党员干部作风纪律意识，组织观看《不可触摸的底线2》和《整治乱作为打通“中梗阻”》廉政教育片，积极开展办公用房“回头看”自查行动。扎实开展民政服务机构安全隐患排查，积极配合开展桥北市场群消防安全隐患整治“百日攻坚”行动。处理纳诺老年公寓群体信访件40余件，接待群体上访600余人，集中接访20余次。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推动区社会福利中心（南湖春晓生态健康颐养园）项目建设发展，瞄准中央、省、市、区对养老项目建设的支持，“解除项目合作协议，民政自身开展建设”的规划，走出了盘活项目建设的新路子。</w:t>
      </w:r>
      <w:r>
        <w:rPr>
          <w:rFonts w:ascii="仿宋" w:hAnsi="仿宋" w:eastAsia="仿宋" w:cs="仿宋"/>
          <w:bCs/>
          <w:sz w:val="32"/>
          <w:szCs w:val="32"/>
        </w:rPr>
        <w:t xml:space="preserve"> 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七、</w:t>
      </w:r>
      <w:r>
        <w:rPr>
          <w:rFonts w:ascii="Times New Roman" w:hAnsi="Times New Roman" w:eastAsia="黑体" w:cs="Times New Roman"/>
          <w:sz w:val="32"/>
          <w:szCs w:val="32"/>
        </w:rPr>
        <w:t>存在的问题及原因分析</w:t>
      </w:r>
    </w:p>
    <w:p>
      <w:pPr>
        <w:widowControl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部门预算的人员经费和公用经费严重不足。我局系统除了日常办公支出外,还要承担23名差额编制和24名自收自支的人员经费。单位日常运转的刚性支出大，现有的部门预算资金已不能满足日益增长的工作需要。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79" w:lineRule="exact"/>
        <w:ind w:firstLine="643" w:firstLineChars="200"/>
        <w:rPr>
          <w:rFonts w:hint="eastAsia" w:ascii="Times New Roman" w:hAnsi="Times New Roman" w:eastAsia="楷体GB2312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楷体GB2312" w:cs="Times New Roman"/>
          <w:b/>
          <w:bCs/>
          <w:sz w:val="32"/>
          <w:szCs w:val="32"/>
        </w:rPr>
        <w:t>八、下一步改进措施</w:t>
      </w:r>
      <w:r>
        <w:rPr>
          <w:rFonts w:hint="eastAsia" w:ascii="Times New Roman" w:hAnsi="Times New Roman" w:eastAsia="楷体GB2312" w:cs="Times New Roman"/>
          <w:b/>
          <w:bCs/>
          <w:sz w:val="32"/>
          <w:szCs w:val="32"/>
          <w:lang w:eastAsia="zh-CN"/>
        </w:rPr>
        <w:t>和建议</w:t>
      </w:r>
    </w:p>
    <w:p>
      <w:pPr>
        <w:widowControl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1、加强预算管理意识，优化预算执行管理。我局将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认真贯彻落实预算法</w:t>
      </w:r>
      <w:r>
        <w:rPr>
          <w:rFonts w:ascii="Times New Roman" w:hAnsi="Times New Roman" w:eastAsia="仿宋_GB2312" w:cs="Times New Roman"/>
          <w:sz w:val="32"/>
          <w:szCs w:val="32"/>
        </w:rPr>
        <w:t>，提高对预算资金使用效益的认识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严格执行预算编制的相关制度和要求，各项经费根据单位的年度工作重点和项目专项工作进行规划，本着“勤俭节约、保障运转”的原则做好预算编制工作，进一步提高预算编制的科学性、合理性、严谨性。</w:t>
      </w:r>
    </w:p>
    <w:p>
      <w:pPr>
        <w:widowControl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2、根据我局部门整体支出绩效评价情况，建议区财政根据民政事业发展的要求和实际情况，加大部门预算资金的安排，提高我局公用经费和工作经费预算额度。</w:t>
      </w:r>
    </w:p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年度业务工作专项支出绩效自评表</w:t>
      </w:r>
    </w:p>
    <w:p>
      <w:pPr>
        <w:widowControl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spacing w:line="600" w:lineRule="exact"/>
        <w:ind w:firstLine="1600" w:firstLineChars="5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600" w:lineRule="exact"/>
        <w:ind w:firstLine="1600" w:firstLineChars="5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79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益阳市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资阳区民政局</w:t>
      </w:r>
    </w:p>
    <w:p>
      <w:pPr>
        <w:spacing w:line="579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2021年11月16日</w:t>
      </w:r>
    </w:p>
    <w:p>
      <w:pPr>
        <w:widowControl/>
        <w:spacing w:line="600" w:lineRule="exact"/>
        <w:ind w:firstLine="1600" w:firstLineChars="5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600" w:lineRule="exact"/>
        <w:ind w:firstLine="1600" w:firstLineChars="5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/>
    <w:p/>
    <w:p/>
    <w:p/>
    <w:p/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附件：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1"/>
        <w:gridCol w:w="430"/>
        <w:gridCol w:w="548"/>
        <w:gridCol w:w="1795"/>
        <w:gridCol w:w="848"/>
        <w:gridCol w:w="1949"/>
        <w:gridCol w:w="1257"/>
        <w:gridCol w:w="380"/>
        <w:gridCol w:w="746"/>
        <w:gridCol w:w="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2020年度</w:t>
            </w: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部门整体支出绩效自评表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级预算部门名称</w:t>
            </w:r>
          </w:p>
        </w:tc>
        <w:tc>
          <w:tcPr>
            <w:tcW w:w="426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资阳区民政局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年度预</w:t>
            </w:r>
          </w:p>
        </w:tc>
        <w:tc>
          <w:tcPr>
            <w:tcW w:w="550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8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10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7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分值</w:t>
            </w: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8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8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14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13195.13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13195.13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12301.85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93.23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13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按收入性质分：</w:t>
            </w:r>
          </w:p>
        </w:tc>
        <w:tc>
          <w:tcPr>
            <w:tcW w:w="16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按支出性质分：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13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 xml:space="preserve">  其中：  一般公共预算：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10161.12</w:t>
            </w:r>
          </w:p>
        </w:tc>
        <w:tc>
          <w:tcPr>
            <w:tcW w:w="16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其中：基本支出：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1614.91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13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政府性基金拨款：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2243.63</w:t>
            </w:r>
          </w:p>
        </w:tc>
        <w:tc>
          <w:tcPr>
            <w:tcW w:w="16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项目支出：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10686.93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313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16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13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民生保障能力明显增强，社会治理水平显著提高，提供专项社会服务更加有效，形成各个部门和各项工作之间有机联系、分工明确、相互支撑、协同发展的推进格局，构建起制度更加完备、体系更加健全、覆盖更加广泛、功能更加强大，与经济社会发展水平相适应的现代化民政事业发展体系。</w:t>
            </w:r>
          </w:p>
        </w:tc>
        <w:tc>
          <w:tcPr>
            <w:tcW w:w="16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735"/>
              </w:tabs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聚焦脱贫攻坚、特殊群体和群众关切，落实民政部和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委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政府对决策部署，大力推进“五化”民政建设，各项工作取得新成效，为全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经济社会发展作出了积极贡献。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绩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效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指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标</w:t>
            </w: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二级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指标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57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年度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7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分值</w:t>
            </w: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得分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产出指标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(50分)</w:t>
            </w: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重度残疾人护理补贴月均保障人数</w:t>
            </w:r>
          </w:p>
        </w:tc>
        <w:tc>
          <w:tcPr>
            <w:tcW w:w="157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4134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7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4134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困难残疾人生活补贴月均保障人数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3102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3102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特困人员月均保障人数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2408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2408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孤儿月均保障人数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141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141人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低保对象月均保障人数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12280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2280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资金社会化发放率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≥90%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≥90%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资金下达时限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收到中央补助资金30日内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收到中央补助资金30日内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资金按时发放时限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按月或按季发放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按月或按季发放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孤儿供养标准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集中供养孤儿标准不低于1350元/月；散居孤儿供养标准不低于950元/月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集中供养孤儿标准不低于1350元/月；散居孤儿供养标准不低于950元/月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城乡低保标准和救助水平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不低于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级指导标准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不低于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级指导标准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困难残疾人生活补贴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每人每月6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城乡特困人员基本生活标准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不低于城乡低保标准的1.3倍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分别达到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9048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元/年和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5226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元/年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重度残疾人护理补贴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每人每月6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效益指标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经济效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城市低保标准“十三五”年均增长率；农村低保标准增长率。</w:t>
            </w:r>
          </w:p>
        </w:tc>
        <w:tc>
          <w:tcPr>
            <w:tcW w:w="157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城市低保标准“十三五”年均增长率达到10%以上；农村低保标准年均增长率达到10%以上。</w:t>
            </w:r>
          </w:p>
        </w:tc>
        <w:tc>
          <w:tcPr>
            <w:tcW w:w="7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城乡低保月人均救助水平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520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元和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335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元,比201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年提高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42.47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%和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48.2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3%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社会效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政策知晓率</w:t>
            </w:r>
          </w:p>
        </w:tc>
        <w:tc>
          <w:tcPr>
            <w:tcW w:w="157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(≥85%)</w:t>
            </w:r>
          </w:p>
        </w:tc>
        <w:tc>
          <w:tcPr>
            <w:tcW w:w="7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(≥85%)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困难群众基本生活救助制度和残疾人保障制度</w:t>
            </w:r>
          </w:p>
        </w:tc>
        <w:tc>
          <w:tcPr>
            <w:tcW w:w="157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逐步完善（视情况酌情给分）</w:t>
            </w:r>
          </w:p>
        </w:tc>
        <w:tc>
          <w:tcPr>
            <w:tcW w:w="7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视情况酌情给分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满意度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指标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工作满意度</w:t>
            </w:r>
          </w:p>
        </w:tc>
        <w:tc>
          <w:tcPr>
            <w:tcW w:w="157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(≥90%)</w:t>
            </w:r>
          </w:p>
        </w:tc>
        <w:tc>
          <w:tcPr>
            <w:tcW w:w="7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(≥90%)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3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总分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3EE537"/>
    <w:multiLevelType w:val="singleLevel"/>
    <w:tmpl w:val="CE3EE5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435567"/>
    <w:multiLevelType w:val="singleLevel"/>
    <w:tmpl w:val="F743556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B4E36A"/>
    <w:multiLevelType w:val="singleLevel"/>
    <w:tmpl w:val="78B4E36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A3F30"/>
    <w:rsid w:val="000E105F"/>
    <w:rsid w:val="0030547C"/>
    <w:rsid w:val="006A7DF2"/>
    <w:rsid w:val="006D2B20"/>
    <w:rsid w:val="008D07E6"/>
    <w:rsid w:val="00D52DC2"/>
    <w:rsid w:val="04D32AC7"/>
    <w:rsid w:val="064E3B8A"/>
    <w:rsid w:val="08517C00"/>
    <w:rsid w:val="0CA56B3A"/>
    <w:rsid w:val="10BD492F"/>
    <w:rsid w:val="12986216"/>
    <w:rsid w:val="14EA638F"/>
    <w:rsid w:val="172724BB"/>
    <w:rsid w:val="18DA2562"/>
    <w:rsid w:val="19107853"/>
    <w:rsid w:val="19623E03"/>
    <w:rsid w:val="1980638C"/>
    <w:rsid w:val="1F3C0AE8"/>
    <w:rsid w:val="1F9905BC"/>
    <w:rsid w:val="1FEC681D"/>
    <w:rsid w:val="240E09AF"/>
    <w:rsid w:val="24285BD5"/>
    <w:rsid w:val="25BC27DD"/>
    <w:rsid w:val="265B240F"/>
    <w:rsid w:val="29FA7F5C"/>
    <w:rsid w:val="2A6E224D"/>
    <w:rsid w:val="2BA95672"/>
    <w:rsid w:val="2F3406AE"/>
    <w:rsid w:val="3027683B"/>
    <w:rsid w:val="315969B0"/>
    <w:rsid w:val="3320739A"/>
    <w:rsid w:val="34A054FF"/>
    <w:rsid w:val="34D413D2"/>
    <w:rsid w:val="3514635A"/>
    <w:rsid w:val="35755406"/>
    <w:rsid w:val="35C712AE"/>
    <w:rsid w:val="361303CA"/>
    <w:rsid w:val="36C76050"/>
    <w:rsid w:val="3D4E4F39"/>
    <w:rsid w:val="412A3F30"/>
    <w:rsid w:val="417C1BE8"/>
    <w:rsid w:val="44894A5B"/>
    <w:rsid w:val="47071EE3"/>
    <w:rsid w:val="48153619"/>
    <w:rsid w:val="48222E78"/>
    <w:rsid w:val="4C812ED4"/>
    <w:rsid w:val="4DC00FA9"/>
    <w:rsid w:val="52C60D4D"/>
    <w:rsid w:val="541B7AD1"/>
    <w:rsid w:val="54D73E95"/>
    <w:rsid w:val="58E37F63"/>
    <w:rsid w:val="59AF0189"/>
    <w:rsid w:val="5A9C6553"/>
    <w:rsid w:val="5BD977D5"/>
    <w:rsid w:val="5BFD60C0"/>
    <w:rsid w:val="5EF432E1"/>
    <w:rsid w:val="5F0C2AA2"/>
    <w:rsid w:val="5FFD7B02"/>
    <w:rsid w:val="6157763E"/>
    <w:rsid w:val="62393146"/>
    <w:rsid w:val="63EB0E9D"/>
    <w:rsid w:val="667D3146"/>
    <w:rsid w:val="66CD5C4D"/>
    <w:rsid w:val="66FD616A"/>
    <w:rsid w:val="682A09D6"/>
    <w:rsid w:val="69320D51"/>
    <w:rsid w:val="695525C9"/>
    <w:rsid w:val="69C913BB"/>
    <w:rsid w:val="6A0A2437"/>
    <w:rsid w:val="6ED8275F"/>
    <w:rsid w:val="6F121C91"/>
    <w:rsid w:val="768115E7"/>
    <w:rsid w:val="7AA358F6"/>
    <w:rsid w:val="7AB4068A"/>
    <w:rsid w:val="7F95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sz w:val="24"/>
      <w:szCs w:val="24"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  <w:rPr>
      <w:sz w:val="24"/>
      <w:szCs w:val="24"/>
    </w:rPr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font21"/>
    <w:basedOn w:val="8"/>
    <w:qFormat/>
    <w:uiPriority w:val="0"/>
    <w:rPr>
      <w:rFonts w:ascii="仿宋_GB2312" w:eastAsia="仿宋_GB2312" w:cs="仿宋_GB2312"/>
      <w:b/>
      <w:color w:val="000000"/>
      <w:sz w:val="21"/>
      <w:szCs w:val="21"/>
      <w:u w:val="none"/>
    </w:rPr>
  </w:style>
  <w:style w:type="character" w:customStyle="1" w:styleId="15">
    <w:name w:val="font11"/>
    <w:basedOn w:val="8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6">
    <w:name w:val="font6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8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4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8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before4"/>
    <w:basedOn w:val="8"/>
    <w:qFormat/>
    <w:uiPriority w:val="0"/>
    <w:rPr>
      <w:bdr w:val="single" w:color="0466C7" w:sz="36" w:space="0"/>
    </w:rPr>
  </w:style>
  <w:style w:type="character" w:customStyle="1" w:styleId="23">
    <w:name w:val="wx-space"/>
    <w:basedOn w:val="8"/>
    <w:qFormat/>
    <w:uiPriority w:val="0"/>
  </w:style>
  <w:style w:type="character" w:customStyle="1" w:styleId="24">
    <w:name w:val="wx-space1"/>
    <w:basedOn w:val="8"/>
    <w:qFormat/>
    <w:uiPriority w:val="0"/>
  </w:style>
  <w:style w:type="character" w:customStyle="1" w:styleId="25">
    <w:name w:val="bsharetext"/>
    <w:basedOn w:val="8"/>
    <w:qFormat/>
    <w:uiPriority w:val="0"/>
  </w:style>
  <w:style w:type="character" w:customStyle="1" w:styleId="26">
    <w:name w:val="hover25"/>
    <w:basedOn w:val="8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26</Pages>
  <Words>2536</Words>
  <Characters>14458</Characters>
  <Lines>120</Lines>
  <Paragraphs>33</Paragraphs>
  <TotalTime>23</TotalTime>
  <ScaleCrop>false</ScaleCrop>
  <LinksUpToDate>false</LinksUpToDate>
  <CharactersWithSpaces>16961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2019-05-20T06:18:00Z</dcterms:created>
  <dc:creator>1402836399</dc:creator>
  <cp:lastModifiedBy>紫水灵儿</cp:lastModifiedBy>
  <cp:lastPrinted>2020-06-08T11:06:00Z</cp:lastPrinted>
  <dcterms:modified xsi:type="dcterms:W3CDTF">2021-11-17T07:00:13Z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