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湖南</w:t>
      </w:r>
      <w:r>
        <w:t>益阳长春经济开发区管理委员会</w:t>
      </w:r>
    </w:p>
    <w:p>
      <w:pPr>
        <w:pStyle w:val="2"/>
        <w:jc w:val="center"/>
      </w:pPr>
      <w:r>
        <w:t>2020年度预算绩效评价自评工作报告</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为了进一步规范财政资金管理，牢固树立预算绩效理念，强化部门支出责任，提高财政资金使用效益，根据《益阳市人民政府关于全面推进预算绩效管理的实施意见》（益政发[2013]10号）、《湖南省预算绩效管理工作规程（试行）的通知》（湘财绩[2013]28号）等有关文件精神，益资财[2021]22号(益阳市资阳区财政局关于开展2020年度预算绩效自评工作的通知)和财政部门关于预算绩效评价的有关要求，现将湖南益阳长春经济开发区管理委员会部门预算整体支出绩效情况自评情况报告如下：</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一、部门概况</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（一）、部门职能职责</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1.指导、帮助社区居民委员会开展工作；</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2.发展街道经济，开展社区服务，兴办社会福利事业，做好社会保障、社会救助、防火救灾工作； </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3.维护老年人、未成年人、妇女、残疾人和归侨、侨眷、少数民族的合法权益；  </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4.加强计划生育、人口、教育、文化、卫生、科普、体育等基础管理工作；  </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5.组织实施社会治安综合治理规划，开展治安、保卫、人民调解和拥军优属工作，做好国防动员和兵役工作；  </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6.参与检查、督促辖区内新建改建住宅和公共建筑、市政设施配套项目的落实、验收工作，协助有关部门对公共建筑、市政配套设施的使用进行管理监督；</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7.向区人民政府反映居民的意见和要求，办理群众来信来访；</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8.做好区人民政府交办的其他工作。</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（二）、部门预算单位构成</w:t>
      </w:r>
    </w:p>
    <w:p>
      <w:pPr>
        <w:pStyle w:val="3"/>
        <w:widowControl/>
        <w:shd w:val="clear" w:color="auto" w:fill="FFFFFF"/>
        <w:spacing w:beforeAutospacing="0" w:afterAutospacing="0" w:line="26" w:lineRule="atLeast"/>
        <w:ind w:firstLine="420"/>
        <w:jc w:val="center"/>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湖南益阳长春经济开发区管理委员会设</w:t>
      </w:r>
      <w:r>
        <w:rPr>
          <w:rFonts w:hint="eastAsia" w:ascii="仿宋_GB2312" w:hAnsi="宋体" w:eastAsia="仿宋_GB2312" w:cs="宋体"/>
          <w:color w:val="000000"/>
          <w:sz w:val="21"/>
          <w:szCs w:val="21"/>
        </w:rPr>
        <w:t>党政综合办公室</w:t>
      </w:r>
      <w:r>
        <w:rPr>
          <w:rFonts w:hint="eastAsia" w:ascii="宋体" w:hAnsi="宋体" w:eastAsia="宋体" w:cs="宋体"/>
          <w:color w:val="000000"/>
          <w:sz w:val="21"/>
          <w:szCs w:val="21"/>
        </w:rPr>
        <w:t>；</w:t>
      </w:r>
      <w:r>
        <w:rPr>
          <w:rFonts w:hint="eastAsia" w:ascii="仿宋_GB2312" w:hAnsi="宋体" w:eastAsia="仿宋_GB2312" w:cs="宋体"/>
          <w:color w:val="000000"/>
          <w:sz w:val="21"/>
          <w:szCs w:val="21"/>
        </w:rPr>
        <w:t>招商联络部</w:t>
      </w:r>
      <w:r>
        <w:rPr>
          <w:rFonts w:hint="eastAsia" w:ascii="宋体" w:hAnsi="宋体" w:eastAsia="宋体" w:cs="宋体"/>
          <w:color w:val="000000"/>
          <w:sz w:val="21"/>
          <w:szCs w:val="21"/>
        </w:rPr>
        <w:t>；</w:t>
      </w:r>
      <w:r>
        <w:rPr>
          <w:rFonts w:hint="eastAsia" w:ascii="仿宋_GB2312" w:hAnsi="宋体" w:eastAsia="仿宋_GB2312" w:cs="宋体"/>
          <w:color w:val="000000"/>
          <w:sz w:val="21"/>
          <w:szCs w:val="21"/>
        </w:rPr>
        <w:t>工程建设部</w:t>
      </w:r>
      <w:r>
        <w:rPr>
          <w:rFonts w:hint="eastAsia" w:ascii="宋体" w:hAnsi="宋体" w:eastAsia="宋体" w:cs="宋体"/>
          <w:color w:val="000000"/>
          <w:sz w:val="21"/>
          <w:szCs w:val="21"/>
        </w:rPr>
        <w:t>；</w:t>
      </w:r>
      <w:r>
        <w:rPr>
          <w:rFonts w:hint="eastAsia" w:ascii="仿宋_GB2312" w:hAnsi="宋体" w:eastAsia="仿宋_GB2312" w:cs="宋体"/>
          <w:color w:val="000000"/>
          <w:sz w:val="21"/>
          <w:szCs w:val="21"/>
        </w:rPr>
        <w:t>财</w:t>
      </w:r>
      <w:r>
        <w:rPr>
          <w:rFonts w:hint="eastAsia" w:ascii="宋体" w:hAnsi="宋体" w:eastAsia="宋体" w:cs="宋体"/>
          <w:color w:val="000000"/>
          <w:sz w:val="21"/>
          <w:szCs w:val="21"/>
        </w:rPr>
        <w:t>务</w:t>
      </w:r>
      <w:r>
        <w:rPr>
          <w:rFonts w:hint="eastAsia" w:ascii="仿宋_GB2312" w:hAnsi="宋体" w:eastAsia="仿宋_GB2312" w:cs="宋体"/>
          <w:color w:val="000000"/>
          <w:sz w:val="21"/>
          <w:szCs w:val="21"/>
        </w:rPr>
        <w:t>资产部</w:t>
      </w:r>
      <w:r>
        <w:rPr>
          <w:rFonts w:hint="eastAsia" w:ascii="宋体" w:hAnsi="宋体" w:eastAsia="宋体" w:cs="宋体"/>
          <w:color w:val="000000"/>
          <w:sz w:val="21"/>
          <w:szCs w:val="21"/>
        </w:rPr>
        <w:t>；</w:t>
      </w:r>
      <w:r>
        <w:rPr>
          <w:rFonts w:hint="eastAsia" w:ascii="仿宋_GB2312" w:hAnsi="宋体" w:eastAsia="仿宋_GB2312" w:cs="宋体"/>
          <w:color w:val="000000"/>
          <w:sz w:val="21"/>
          <w:szCs w:val="21"/>
        </w:rPr>
        <w:t>社会事务部</w:t>
      </w:r>
      <w:r>
        <w:rPr>
          <w:rFonts w:hint="eastAsia" w:ascii="宋体" w:hAnsi="宋体" w:eastAsia="宋体" w:cs="宋体"/>
          <w:color w:val="000000"/>
          <w:sz w:val="21"/>
          <w:szCs w:val="21"/>
        </w:rPr>
        <w:t>；</w:t>
      </w:r>
      <w:r>
        <w:rPr>
          <w:rFonts w:hint="eastAsia" w:ascii="仿宋_GB2312" w:hAnsi="宋体" w:eastAsia="仿宋_GB2312" w:cs="宋体"/>
          <w:color w:val="000000"/>
          <w:sz w:val="21"/>
          <w:szCs w:val="21"/>
        </w:rPr>
        <w:t>拆迁办</w:t>
      </w:r>
      <w:r>
        <w:rPr>
          <w:rFonts w:hint="eastAsia" w:ascii="宋体" w:hAnsi="宋体" w:eastAsia="宋体" w:cs="宋体"/>
          <w:color w:val="000000"/>
          <w:sz w:val="21"/>
          <w:szCs w:val="21"/>
        </w:rPr>
        <w:t>；</w:t>
      </w:r>
      <w:r>
        <w:rPr>
          <w:rFonts w:hint="eastAsia" w:ascii="仿宋_GB2312" w:hAnsi="宋体" w:eastAsia="仿宋_GB2312" w:cs="宋体"/>
          <w:color w:val="000000"/>
          <w:sz w:val="21"/>
          <w:szCs w:val="21"/>
        </w:rPr>
        <w:t>查违拆违大队</w:t>
      </w:r>
      <w:r>
        <w:rPr>
          <w:rFonts w:hint="eastAsia" w:ascii="微软雅黑" w:hAnsi="微软雅黑" w:eastAsia="微软雅黑" w:cs="微软雅黑"/>
          <w:color w:val="333333"/>
          <w:sz w:val="19"/>
          <w:szCs w:val="19"/>
          <w:shd w:val="clear" w:color="auto" w:fill="FFFFFF"/>
        </w:rPr>
        <w:t>共7个内设部室</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二、部门整体支出规模、使用方向和主要内容及范围</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2020年部门预算仅包括本级预算。收入既包括一般公共预算和其他收入。</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（一）收入预算：</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2020年年初预算数793.29万元，其中，一般公共预算拨款765.51万元，上级转移支付2.5万元，其他收入25.28万元。</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（二）支出预算：</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2020年年初预算数793.29万元，其中，一般公共服务支出410.7万元，文化旅游体育与传媒支出3.5万元，社会和保障就业支出146.11万元，卫生健康支出25万元，城乡社区支出59.4万元，农林水支出108万元，住房保障支出40.58万元。</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一般公共预算拨款收入676.08万元，具体安排情况如下：</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1、基本支出：</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2020年年初预算数为526.91万元，其中工资福利支出467.88万元，商品和服务支出59.03万元</w:t>
      </w:r>
      <w:r>
        <w:rPr>
          <w:rFonts w:hint="eastAsia" w:ascii="微软雅黑" w:hAnsi="微软雅黑" w:eastAsia="微软雅黑" w:cs="微软雅黑"/>
          <w:color w:val="333333"/>
          <w:sz w:val="19"/>
          <w:szCs w:val="19"/>
        </w:rPr>
        <w:t>。园区</w:t>
      </w:r>
      <w:r>
        <w:rPr>
          <w:rFonts w:hint="eastAsia" w:ascii="微软雅黑" w:hAnsi="微软雅黑" w:eastAsia="微软雅黑" w:cs="微软雅黑"/>
          <w:color w:val="333333"/>
          <w:sz w:val="19"/>
          <w:szCs w:val="19"/>
          <w:shd w:val="clear" w:color="auto" w:fill="FFFFFF"/>
        </w:rPr>
        <w:t>对各项支出严格按政策执行，认真执行财经纪律，制定了《机关财务管理制度》、《差旅费管理办法》、《公务卡有关财务管理暂行规定》等各项管理办法，加强对各项支出的管控，特别是对“三公”经费严格控制。在严格的管理制度下，园区2020年“三公”经费预算金额为0万元，并在政府网站进行了公示。</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2、项目支出：</w:t>
      </w:r>
    </w:p>
    <w:p>
      <w:pPr>
        <w:shd w:val="clear" w:color="auto" w:fill="FFFFFF"/>
        <w:spacing w:before="150" w:line="600" w:lineRule="atLeast"/>
        <w:ind w:firstLine="660"/>
        <w:rPr>
          <w:rFonts w:ascii="宋体" w:hAnsi="宋体" w:eastAsia="宋体" w:cs="宋体"/>
          <w:color w:val="666666"/>
          <w:szCs w:val="21"/>
        </w:rPr>
      </w:pPr>
      <w:r>
        <w:rPr>
          <w:rFonts w:hint="eastAsia" w:ascii="微软雅黑" w:hAnsi="微软雅黑" w:eastAsia="微软雅黑" w:cs="微软雅黑"/>
          <w:color w:val="333333"/>
          <w:sz w:val="19"/>
          <w:szCs w:val="19"/>
          <w:shd w:val="clear" w:color="auto" w:fill="FFFFFF"/>
        </w:rPr>
        <w:t>2020年年初预算数为266.38万元，主要用于基层政权建设和社区治理、其他城乡社区管理事务等方面的专项支出。其中：</w:t>
      </w:r>
      <w:r>
        <w:rPr>
          <w:rFonts w:eastAsia="仿宋_GB2312" w:cstheme="minorHAnsi"/>
          <w:color w:val="000000"/>
          <w:sz w:val="18"/>
          <w:szCs w:val="18"/>
        </w:rPr>
        <w:t>乡镇人大经费支出</w:t>
      </w:r>
      <w:r>
        <w:rPr>
          <w:rFonts w:eastAsia="仿宋_GB2312" w:cstheme="minorHAnsi"/>
          <w:b/>
          <w:bCs/>
          <w:color w:val="000000"/>
          <w:sz w:val="18"/>
          <w:szCs w:val="18"/>
        </w:rPr>
        <w:t>2</w:t>
      </w:r>
      <w:r>
        <w:rPr>
          <w:rFonts w:eastAsia="仿宋_GB2312" w:cstheme="minorHAnsi"/>
          <w:color w:val="000000"/>
          <w:sz w:val="18"/>
          <w:szCs w:val="18"/>
        </w:rPr>
        <w:t>万元，主要用于区、市人大会代表选举等方面；乡镇政协经费支出</w:t>
      </w:r>
      <w:r>
        <w:rPr>
          <w:rFonts w:eastAsia="仿宋_GB2312" w:cstheme="minorHAnsi"/>
          <w:b/>
          <w:bCs/>
          <w:color w:val="000000"/>
          <w:sz w:val="18"/>
          <w:szCs w:val="18"/>
        </w:rPr>
        <w:t>1.2</w:t>
      </w:r>
      <w:r>
        <w:rPr>
          <w:rFonts w:eastAsia="仿宋_GB2312" w:cstheme="minorHAnsi"/>
          <w:color w:val="000000"/>
          <w:sz w:val="18"/>
          <w:szCs w:val="18"/>
        </w:rPr>
        <w:t>万元，主要用于区、市政协会议代表选举；乡镇团委工作支出</w:t>
      </w:r>
      <w:r>
        <w:rPr>
          <w:rFonts w:eastAsia="仿宋_GB2312" w:cstheme="minorHAnsi"/>
          <w:b/>
          <w:bCs/>
          <w:color w:val="000000"/>
          <w:sz w:val="18"/>
          <w:szCs w:val="18"/>
        </w:rPr>
        <w:t>2</w:t>
      </w:r>
      <w:r>
        <w:rPr>
          <w:rFonts w:eastAsia="仿宋_GB2312" w:cstheme="minorHAnsi"/>
          <w:color w:val="000000"/>
          <w:sz w:val="18"/>
          <w:szCs w:val="18"/>
        </w:rPr>
        <w:t>万元，主要用于园区基层团支部工作经费；其他组织事务支出</w:t>
      </w:r>
      <w:r>
        <w:rPr>
          <w:rFonts w:eastAsia="仿宋_GB2312" w:cstheme="minorHAnsi"/>
          <w:b/>
          <w:bCs/>
          <w:color w:val="000000"/>
          <w:sz w:val="18"/>
          <w:szCs w:val="18"/>
        </w:rPr>
        <w:t>0.8</w:t>
      </w:r>
      <w:r>
        <w:rPr>
          <w:rFonts w:eastAsia="仿宋_GB2312" w:cstheme="minorHAnsi"/>
          <w:color w:val="000000"/>
          <w:sz w:val="18"/>
          <w:szCs w:val="18"/>
        </w:rPr>
        <w:t>万元、主要用于党建工作经费；其他宣传事务支出</w:t>
      </w:r>
      <w:r>
        <w:rPr>
          <w:rFonts w:eastAsia="仿宋_GB2312" w:cstheme="minorHAnsi"/>
          <w:b/>
          <w:bCs/>
          <w:color w:val="000000"/>
          <w:sz w:val="18"/>
          <w:szCs w:val="18"/>
        </w:rPr>
        <w:t>1</w:t>
      </w:r>
      <w:r>
        <w:rPr>
          <w:rFonts w:eastAsia="仿宋_GB2312" w:cstheme="minorHAnsi"/>
          <w:color w:val="000000"/>
          <w:sz w:val="18"/>
          <w:szCs w:val="18"/>
        </w:rPr>
        <w:t>万元、主要用于中心组学习、党员教育经费等；文化站免费开放</w:t>
      </w:r>
      <w:r>
        <w:rPr>
          <w:rFonts w:eastAsia="仿宋_GB2312" w:cstheme="minorHAnsi"/>
          <w:b/>
          <w:bCs/>
          <w:color w:val="000000"/>
          <w:sz w:val="18"/>
          <w:szCs w:val="18"/>
        </w:rPr>
        <w:t>3.5</w:t>
      </w:r>
      <w:r>
        <w:rPr>
          <w:rFonts w:eastAsia="仿宋_GB2312" w:cstheme="minorHAnsi"/>
          <w:color w:val="000000"/>
          <w:sz w:val="18"/>
          <w:szCs w:val="18"/>
        </w:rPr>
        <w:t>万元，主要用于园区各基层文化站购置图书等；社区经费</w:t>
      </w:r>
      <w:r>
        <w:rPr>
          <w:rFonts w:eastAsia="仿宋_GB2312" w:cstheme="minorHAnsi"/>
          <w:b/>
          <w:bCs/>
          <w:color w:val="000000"/>
          <w:sz w:val="18"/>
          <w:szCs w:val="18"/>
        </w:rPr>
        <w:t>88</w:t>
      </w:r>
      <w:r>
        <w:rPr>
          <w:rFonts w:eastAsia="仿宋_GB2312" w:cstheme="minorHAnsi"/>
          <w:color w:val="000000"/>
          <w:sz w:val="18"/>
          <w:szCs w:val="18"/>
        </w:rPr>
        <w:t>万元，主要用于各社区的正常运转等方面；其他医疗卫生与计划生育支出</w:t>
      </w:r>
      <w:r>
        <w:rPr>
          <w:rFonts w:eastAsia="仿宋_GB2312" w:cstheme="minorHAnsi"/>
          <w:b/>
          <w:bCs/>
          <w:color w:val="000000"/>
          <w:sz w:val="18"/>
          <w:szCs w:val="18"/>
        </w:rPr>
        <w:t>0.48</w:t>
      </w:r>
      <w:r>
        <w:rPr>
          <w:rFonts w:eastAsia="仿宋_GB2312" w:cstheme="minorHAnsi"/>
          <w:color w:val="000000"/>
          <w:sz w:val="18"/>
          <w:szCs w:val="18"/>
        </w:rPr>
        <w:t>万元，主要用于计划生育工作支出；基他城乡社区管理事务支出</w:t>
      </w:r>
      <w:r>
        <w:rPr>
          <w:rFonts w:eastAsia="仿宋_GB2312" w:cstheme="minorHAnsi"/>
          <w:b/>
          <w:bCs/>
          <w:color w:val="000000"/>
          <w:sz w:val="18"/>
          <w:szCs w:val="18"/>
        </w:rPr>
        <w:t>59.4</w:t>
      </w:r>
      <w:r>
        <w:rPr>
          <w:rFonts w:eastAsia="仿宋_GB2312" w:cstheme="minorHAnsi"/>
          <w:color w:val="000000"/>
          <w:sz w:val="18"/>
          <w:szCs w:val="18"/>
        </w:rPr>
        <w:t>万元，主要用于社区运转、社区矫正、社区戒毒等方面；其他农业支出--街道综合治理经费</w:t>
      </w:r>
      <w:r>
        <w:rPr>
          <w:rFonts w:eastAsia="仿宋_GB2312" w:cstheme="minorHAnsi"/>
          <w:b/>
          <w:bCs/>
          <w:color w:val="000000"/>
          <w:sz w:val="18"/>
          <w:szCs w:val="18"/>
        </w:rPr>
        <w:t>8</w:t>
      </w:r>
      <w:r>
        <w:rPr>
          <w:rFonts w:eastAsia="仿宋_GB2312" w:cstheme="minorHAnsi"/>
          <w:color w:val="000000"/>
          <w:sz w:val="18"/>
          <w:szCs w:val="18"/>
        </w:rPr>
        <w:t>万元主要用于综治维稳等，对村民委员会和村党支部的补助</w:t>
      </w:r>
      <w:r>
        <w:rPr>
          <w:rFonts w:eastAsia="仿宋_GB2312" w:cstheme="minorHAnsi"/>
          <w:b/>
          <w:bCs/>
          <w:color w:val="000000"/>
          <w:sz w:val="18"/>
          <w:szCs w:val="18"/>
        </w:rPr>
        <w:t>100</w:t>
      </w:r>
      <w:r>
        <w:rPr>
          <w:rFonts w:eastAsia="仿宋_GB2312" w:cstheme="minorHAnsi"/>
          <w:color w:val="000000"/>
          <w:sz w:val="18"/>
          <w:szCs w:val="18"/>
        </w:rPr>
        <w:t>万元主要用于资管委的正常运转（其中有</w:t>
      </w:r>
      <w:r>
        <w:rPr>
          <w:rFonts w:eastAsia="仿宋_GB2312" w:cstheme="minorHAnsi"/>
          <w:b/>
          <w:bCs/>
          <w:color w:val="000000"/>
          <w:sz w:val="18"/>
          <w:szCs w:val="18"/>
        </w:rPr>
        <w:t>4</w:t>
      </w:r>
      <w:r>
        <w:rPr>
          <w:rFonts w:eastAsia="仿宋_GB2312" w:cstheme="minorHAnsi"/>
          <w:color w:val="000000"/>
          <w:sz w:val="18"/>
          <w:szCs w:val="18"/>
        </w:rPr>
        <w:t>万元主要用于离退老村干部的生活补贴）。</w:t>
      </w:r>
    </w:p>
    <w:p>
      <w:pPr>
        <w:pStyle w:val="3"/>
        <w:widowControl/>
        <w:shd w:val="clear" w:color="auto" w:fill="FFFFFF"/>
        <w:spacing w:beforeAutospacing="0" w:afterAutospacing="0" w:line="26" w:lineRule="atLeast"/>
        <w:ind w:firstLine="420"/>
        <w:jc w:val="both"/>
        <w:rPr>
          <w:rFonts w:hint="eastAsia" w:ascii="微软雅黑" w:hAnsi="微软雅黑" w:eastAsia="微软雅黑" w:cs="微软雅黑"/>
          <w:color w:val="333333"/>
          <w:sz w:val="19"/>
          <w:szCs w:val="19"/>
          <w:shd w:val="clear" w:color="auto" w:fill="FFFFFF"/>
        </w:rPr>
      </w:pPr>
      <w:r>
        <w:rPr>
          <w:rFonts w:hint="eastAsia" w:ascii="微软雅黑" w:hAnsi="微软雅黑" w:eastAsia="微软雅黑" w:cs="微软雅黑"/>
          <w:color w:val="333333"/>
          <w:sz w:val="19"/>
          <w:szCs w:val="19"/>
          <w:shd w:val="clear" w:color="auto" w:fill="FFFFFF"/>
        </w:rPr>
        <w:t>项目资金严格按照《会计法》、《预算法》、《政府采购法》等相关政策法规及省、市要求，按照县财政下发的《益阳市资阳区省级专项项目管理办法》等对专项资金加强管理。</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三、专项资金管理和组织实施情况</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建立了专项资金管理办法，严格遵循专款专用，独立核算的管理原则。专项项目的申报严格按省财政资金管理的要求进行，专项资金财政拨款到位后及时进行了项目开展和资金投入。目前对专项资金的管理根据财务管理办法的相关制度执行。</w:t>
      </w:r>
      <w:r>
        <w:rPr>
          <w:rFonts w:hint="eastAsia" w:ascii="微软雅黑" w:hAnsi="微软雅黑" w:eastAsia="微软雅黑" w:cs="微软雅黑"/>
          <w:color w:val="333333"/>
          <w:sz w:val="22"/>
          <w:szCs w:val="22"/>
          <w:shd w:val="clear" w:color="auto" w:fill="FFFFFF"/>
        </w:rPr>
        <w:t> </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四、资产管理情况</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园区的资产配置严格按相关文件规定执行，按照有利于工作的开展，科学，合理，优化资产结构，勤俭节约出发，从严控制。</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园区国有资产的管理严格按照省、市、区相关管理规定执行，对所有固定资产按类进行登记，做到账账相符、账实相符，固定资产的购入及时进行登记，并进行账务核算，对已经报废不能使用的资产严格履行审批手续，未经批准不得处置。</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五、部门整体支出绩效评价</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2020年根据园区年初工作规划和重点性工作，积极履职，强化管理，较好地完成了年度工作目标。通过加强预算收支管理，不断建立健全内部管理制度，梳理内部管理流程，部门整体支出管理情况得到提升。根据2020年度整体支出状况的概述和分析，部门整体绩效情况如下：</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（一）经济效益评价</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1、本年预算配置控制较好。财政供养人员控制在预算编制以内，编制内在职人员控制率小于100%；“三公”经费预算总额与上年有很大下降。</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预算执行方面。支出总额控制在预算总额以内，除专项预算的追加和政策性工资绩效预算的追加外，本年部门预算因为单位合并进行了相关事项的调整；财政下达专项经费后，单位及时开展工作，将经费落到实处，不存在截留或滞留专项资金情况；“三公”经费总体控制好，未超本年预算和上年决算支出。</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3、预算管理方面，制度执行总体比较有效，但仍需进一步强化。</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4、资产管理方面，建立了资产管理制度，定期进行了盘点和资产清理，总体执行较好。</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（二）效率性评价和有效性评价</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我街道预算安排的基本支出保障了机关有效运转，在执行上严格执行各项财经纪律，防止了违法违纪行为的发生；在项目资金方面用好了专项资金，推进了各专项工作落实，做好了全街道辖区内基层社区建设、社区办公运行、城乡环境卫生及网格化管理、未成年人心理建设、戒毒等工作等各项工作，确保了专项资金在使用和管理上单独核算、专款专用。同时，在专项资金的管理和使用上，严守法律底线，纪律底线，道德底线。</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（三）社会公众满意度评价</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一年以来，园区在区委、区政府的正确领导下，在园区党组的正确带领下，全面贯彻落实党的精神，进一步落实《预算法》和各项财经纪律，加大投入力度，优化产业结构，千方百计保证园区日常工作运转及社区基层建设的良好开展，促进了辖区内经济繁荣，民生稳定，得到各级部门及辖区内居民的一致好评。</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五、存在的主要问题</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1. 财政收入规模单一，街道无经营收入等其他资金来源，社会事业发展所需财政支出压力大，收支矛盾还比较突出；</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 差额及自收自支编制人员基本工资经费存在较大缺口。为保证园区各项综合事务的有序开展，我办现有差额编制人员20人，自收自支人员21人，临时聘请人员2人，因本级财政只负担差额人员经费的60%，自收自支人及军转安置无编人员财政不负担，致使园区每年存在人员经费缺口比较大，财政吃紧，日常工作难以做到更好地开展；</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3. 部门预算绩效评价工作有待形成长效机制，资金管理水平还有待进一步提高。</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 </w:t>
      </w:r>
    </w:p>
    <w:p>
      <w:pPr>
        <w:pStyle w:val="3"/>
        <w:widowControl/>
        <w:shd w:val="clear" w:color="auto" w:fill="FFFFFF"/>
        <w:spacing w:beforeAutospacing="0" w:afterAutospacing="0" w:line="26" w:lineRule="atLeast"/>
        <w:ind w:firstLine="420"/>
        <w:jc w:val="both"/>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 </w:t>
      </w:r>
    </w:p>
    <w:p>
      <w:pPr>
        <w:pStyle w:val="3"/>
        <w:widowControl/>
        <w:shd w:val="clear" w:color="auto" w:fill="FFFFFF"/>
        <w:spacing w:beforeAutospacing="0" w:afterAutospacing="0" w:line="26" w:lineRule="atLeast"/>
        <w:ind w:firstLine="420"/>
        <w:jc w:val="right"/>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湖南益阳长春经济开发区管理委员会</w:t>
      </w:r>
    </w:p>
    <w:p>
      <w:pPr>
        <w:pStyle w:val="3"/>
        <w:widowControl/>
        <w:shd w:val="clear" w:color="auto" w:fill="FFFFFF"/>
        <w:spacing w:beforeAutospacing="0" w:afterAutospacing="0" w:line="26" w:lineRule="atLeast"/>
        <w:ind w:right="760" w:firstLine="420"/>
        <w:jc w:val="right"/>
        <w:rPr>
          <w:rFonts w:ascii="微软雅黑" w:hAnsi="微软雅黑" w:eastAsia="微软雅黑" w:cs="微软雅黑"/>
          <w:color w:val="333333"/>
          <w:sz w:val="19"/>
          <w:szCs w:val="19"/>
        </w:rPr>
      </w:pPr>
      <w:r>
        <w:rPr>
          <w:rFonts w:hint="eastAsia" w:ascii="微软雅黑" w:hAnsi="微软雅黑" w:eastAsia="微软雅黑" w:cs="微软雅黑"/>
          <w:color w:val="333333"/>
          <w:sz w:val="19"/>
          <w:szCs w:val="19"/>
          <w:shd w:val="clear" w:color="auto" w:fill="FFFFFF"/>
        </w:rPr>
        <w:t>2021年</w:t>
      </w:r>
      <w:r>
        <w:rPr>
          <w:rFonts w:hint="eastAsia" w:ascii="微软雅黑" w:hAnsi="微软雅黑" w:eastAsia="微软雅黑" w:cs="微软雅黑"/>
          <w:color w:val="333333"/>
          <w:sz w:val="19"/>
          <w:szCs w:val="19"/>
          <w:shd w:val="clear" w:color="auto" w:fill="FFFFFF"/>
          <w:lang w:val="en-US" w:eastAsia="zh-CN"/>
        </w:rPr>
        <w:t>9</w:t>
      </w:r>
      <w:bookmarkStart w:id="0" w:name="_GoBack"/>
      <w:bookmarkEnd w:id="0"/>
      <w:r>
        <w:rPr>
          <w:rFonts w:hint="eastAsia" w:ascii="微软雅黑" w:hAnsi="微软雅黑" w:eastAsia="微软雅黑" w:cs="微软雅黑"/>
          <w:color w:val="333333"/>
          <w:sz w:val="19"/>
          <w:szCs w:val="19"/>
          <w:shd w:val="clear" w:color="auto" w:fill="FFFFFF"/>
        </w:rPr>
        <w:t>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JhMjhkNmZkMzA3M2U2NTE4ZWU2Y2VlOWU0Njk0YWUifQ=="/>
  </w:docVars>
  <w:rsids>
    <w:rsidRoot w:val="00A70C9A"/>
    <w:rsid w:val="000A330C"/>
    <w:rsid w:val="0028536B"/>
    <w:rsid w:val="006B4D74"/>
    <w:rsid w:val="007209A5"/>
    <w:rsid w:val="00A70C9A"/>
    <w:rsid w:val="00C74921"/>
    <w:rsid w:val="00F374EC"/>
    <w:rsid w:val="3D5F65D0"/>
    <w:rsid w:val="4DAA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454</Words>
  <Characters>2588</Characters>
  <Lines>21</Lines>
  <Paragraphs>6</Paragraphs>
  <TotalTime>20</TotalTime>
  <ScaleCrop>false</ScaleCrop>
  <LinksUpToDate>false</LinksUpToDate>
  <CharactersWithSpaces>3036</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2022-06-15T01:35:00Z</dcterms:created>
  <dc:creator>话我知</dc:creator>
  <cp:lastModifiedBy>海棠</cp:lastModifiedBy>
  <dcterms:modified xsi:type="dcterms:W3CDTF">2022-07-17T07:34:44Z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7AA73D4835A3450E925B9DAAF15A8748</vt:lpwstr>
  </property>
</Properties>
</file>