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t>益阳市</w:t>
      </w:r>
      <w:r>
        <w:rPr>
          <w:rFonts w:hint="eastAsia"/>
          <w:lang w:val="en-US" w:eastAsia="zh-CN"/>
        </w:rPr>
        <w:t>大码头</w:t>
      </w:r>
      <w:r>
        <w:t>街道办事处</w:t>
      </w:r>
      <w:r>
        <w:br w:type="textWrapping"/>
      </w:r>
      <w:r>
        <w:t>2020年度预算绩效评价自评工作报告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为了进一步规范财政资金管理，牢固树立预算绩效理念，强化部门支出责任，提高财政资金使用效益，根据《益阳市人民政府关于全面推进预算绩效管理的实施意见》（益政发[2013]10号）、《湖南省预算绩效管理工作规程（试行）的通知》（湘财绩[2013]28号）等有关文件精神，益资财[2021]22号(益阳市资阳区财政局关于开展2020年度预算绩效自评工作的通知)和财政部门关于预算绩效评价的有关要求，现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益阳市大码头街道办事处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部门预算整体支出绩效情况自评情况报告如下：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一、部门概况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（一）、部门职能职责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1.指导、帮助社区居民委员会开展工作；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2.发展街道经济，开展社区服务，兴办社会福利事业，做好社会保障、社会救助、防火救灾工作；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3.维护老年人、未成年人、妇女、残疾人和归侨、侨眷、少数民族的合法权益；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4.加强计划生育、人口、教育、文化、卫生、科普、体育等基础管理工作；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5.组织实施社会治安综合治理规划，开展治安、保卫、人民调解和拥军优属工作，做好国防动员和兵役工作；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6.参与检查、督促辖区内新建改建住宅和公共建筑、市政设施配套项目的落实、验收工作，协助有关部门对公共建筑、市政配套设施的使用进行管理监督；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7.向区人民政府反映居民的意见和要求，办理群众来信来访；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8.做好区人民政府交办的其他工作。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（二）、部门预算单位构成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益阳市大码头街道办事处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设党政办公室；党建办公室；经济发展办公室；社会事务办公室；自然资源和生态环境办公室；社会治安和应急管理办公室；财政所；社会事务综合服务中心；党群和政务服务中心；退役军人服务站；综合行政执法大队，共7个党政机构、3个事业单位机构及1个职能站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二、部门整体支出规模、使用方向和主要内容及范围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2020年部门预算仅包括本级预算。收入既包括一般公共预算和其他收入。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（一）收入预算：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2020年年初预算数864.87万元，其中，一般公共预算拨款667.27万元，其他收入195.1万元。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（二）支出预算：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2020年年初预算数864.87万元，其中，一般公共服务支出403.93万元，文化旅游体育与传媒支出3.5万元，社会和保障就业支出180.9万元，卫生健康支出115.86万元，城乡社区支出99万元，农林水支出38.08万元，住房保障支出23.6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一般公共预算拨款收入667.27万元，具体安排情况如下：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1、基本支出：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3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2020年年初预算数为335.48万元，是指为保障单位机构正常运转、完成日常工作任务而发生的各项支出，包括用于基本工资、津贴补贴等人员经费以及办公费、印刷费、水电费、办公设备购置等日常公用经费。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我街道对各项支出严格按政策执行，认真执行财经纪律，制定了《机关财务管理制度》、《差旅费管理办法》、《公务卡有关财务管理暂行规定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》等各项管理办法，加强对各项支出的管控，特别是对“三公”经费严格控制。在严格的管理制度下，我街道2020年“三公”经费预算金额为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万元，并在政府网站进行了公示。本年“三公”经费与上一年度持平，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三公经费为零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2、专项支出：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3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2020年年初预算数为331.79万元，是指单位为完成特定行政工作任务或事业发展目标而发生的支出，包括有关事业发展专项、专项业务费、基本建设支出等。其中：其他人大事务支出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万元，其他政协事务支出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1.2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万元，一般行政管理事务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49.5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万元，其他群众团体事务支出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万元，群众文化支出1万元，基层政权和社区建设142.00万元，卫生与健康支出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2.16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万元，其他城乡社区管理事务支出99万元，其他农业支出32.93万元。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专项资金项目财务严格按照《会计法》、《预算法》、《政府采购法》等相关政策法规及省、市要求，按照县财政下发的《益阳市资阳区省级专项项目管理办法》等对专项资金加强管理。根据单位实际情况制定了《益阳市大码头街道办事处项目资金管理办法》。项目完工要验收合格后，才能给予结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三、专项资金管理和组织实施情况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建立了专项资金管理办法，严格遵循专款专用，独立核算的管理原则。专项项目的申报严格按省财政资金管理的要求进行，专项资金财政拨款到位后及时进行了项目开展和资金投入。目前对专项资金的管理根据财务管理办法的相关制度执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四、资产管理情况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我街道的资产配置严格按相关文件规定执行，按照有利于工作的开展，科学，合理，优化资产结构，勤俭节约出发，从严控制。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我街道国有资产的管理严格按照省、市、区相关管理规定执行，对所有固定资产按类进行登记，做到账账相符、账实相符，固定资产的购入及时进行登记，并进行账务核算，对已经报废不能使用的资产严格履行审批手续，未经批准不得处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五、部门整体支出绩效评价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2020年根据街道年初工作规划和重点性工作，积极履职，强化管理，较好地完成了年度工作目标。通过加强预算收支管理，不断建立健全内部管理制度，梳理内部管理流程，部门整体支出管理情况得到提升。根据2020年度整体支出状况的概述和分析，部门整体绩效情况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（一）经济效益评价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1、本年预算配置控制较好。财政供养人员控制在预算编制以内，编制内在职人员控制率小于100%；“三公”经费预算总额与上年持平。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预算执行方面。支出总额控制在预算总额以内，除专项预算的追加和政策性工资绩效预算的追加外，本年部门预算因为单位合并进行了相关事项的调整；财政下达专项经费后，单位及时开展工作，将经费落到实处，不存在截留或滞留专项资金情况；“三公”经费总体控制较好，未超本年预算和上年决算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3、预算管理方面，制度执行总体比较有效，但仍需进一步强化。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4、资产管理方面，建立了资产管理制度，定期进行了盘点和资产清理，总体执行较好。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（二）效率性评价和有效性评价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我街道预算安排的基本支出保障了机关有效运转，在执行上严格执行各项财经纪律，防止了违法违纪行为的发生；在项目资金方面用好了专项资金，推进了各专项工作落实，做好了全街道辖区内基层社区建设、社区办公运行、城乡环境卫生及网格化管理、未成年人心理建设、戒毒等工作等各项工作，确保了专项资金在使用和管理上单独核算、专款专用。同时，在专项资金的管理和使用上，严守法律底线，纪律底线，道德底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（三）社会公众满意度评价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一年以来，我街道在区委、区政府的正确领导下，在街道党组的正确带领下，全面贯彻落实党的精神，进一步落实《预算法》和各项财经纪律，加大投入力度，优化产业结构，千方百计保证街道日常工作运转及社区基层建设的良好开展，促进了辖区内经济繁荣，民生稳定，得到各级部门及辖区内居民的一致好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五、存在的主要问题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1. 财政收入规模单一，街道无经营收入等其他资金来源，社会事业发展所需财政支出压力大，收支矛盾还比较突出；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2. 差额及自收自支编制人员基本工资经费存在较大缺口。为保证街道各项综合事务的有序开展，我办现有差额编制人员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人，自收自支人员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人，临时聘请人员2人，因本级财政只负担差额人员经费的60%，自收自支人及军转安置无编人员财政不负担，致使我办事处每年存在人员经费缺口约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150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万元，财政吃紧，日常工作难以做到更好地开展；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3. 部门预算绩效评价工作有待形成长效机制，资金管理水平还有待进一步提高。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益阳市大码头街道办事处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月12日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jhkNmZkMzA3M2U2NTE4ZWU2Y2VlOWU0Njk0YWUifQ=="/>
  </w:docVars>
  <w:rsids>
    <w:rsidRoot w:val="00000000"/>
    <w:rsid w:val="29623A52"/>
    <w:rsid w:val="2CB624D8"/>
    <w:rsid w:val="3D5F65D0"/>
    <w:rsid w:val="6E2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2963</Words>
  <Characters>3169</Characters>
  <Lines>0</Lines>
  <Paragraphs>0</Paragraphs>
  <TotalTime>3</TotalTime>
  <ScaleCrop>false</ScaleCrop>
  <LinksUpToDate>false</LinksUpToDate>
  <CharactersWithSpaces>3182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2022-06-15T01:35:00Z</dcterms:created>
  <dc:creator>话我知</dc:creator>
  <cp:lastModifiedBy>海棠</cp:lastModifiedBy>
  <dcterms:modified xsi:type="dcterms:W3CDTF">2022-07-17T07:33:54Z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7AA73D4835A3450E925B9DAAF15A8748</vt:lpwstr>
  </property>
</Properties>
</file>