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  <w:bookmarkStart w:id="0" w:name="OLE_LINK1"/>
      <w:bookmarkStart w:id="1" w:name="OLE_LINK2"/>
      <w:r>
        <w:rPr>
          <w:rFonts w:hint="eastAsia" w:eastAsia="方正小标宋_GBK"/>
          <w:bCs/>
          <w:kern w:val="0"/>
          <w:sz w:val="40"/>
          <w:szCs w:val="44"/>
        </w:rPr>
        <w:t>资阳区张家塞乡</w:t>
      </w:r>
      <w:r>
        <w:rPr>
          <w:rFonts w:eastAsia="方正小标宋_GBK"/>
          <w:bCs/>
          <w:kern w:val="0"/>
          <w:sz w:val="40"/>
          <w:szCs w:val="44"/>
        </w:rPr>
        <w:t>人民政府20</w:t>
      </w:r>
      <w:r>
        <w:rPr>
          <w:rFonts w:hint="eastAsia" w:eastAsia="方正小标宋_GBK"/>
          <w:bCs/>
          <w:kern w:val="0"/>
          <w:sz w:val="40"/>
          <w:szCs w:val="44"/>
        </w:rPr>
        <w:t>20</w:t>
      </w:r>
      <w:r>
        <w:rPr>
          <w:rFonts w:eastAsia="方正小标宋_GBK"/>
          <w:bCs/>
          <w:kern w:val="0"/>
          <w:sz w:val="40"/>
          <w:szCs w:val="44"/>
        </w:rPr>
        <w:t>年</w:t>
      </w:r>
      <w:bookmarkStart w:id="2" w:name="_Toc16493"/>
      <w:r>
        <w:rPr>
          <w:rFonts w:hint="eastAsia" w:eastAsia="方正小标宋_GBK"/>
          <w:bCs/>
          <w:kern w:val="0"/>
          <w:sz w:val="40"/>
          <w:szCs w:val="44"/>
          <w:lang w:val="en-US" w:eastAsia="zh-CN"/>
        </w:rPr>
        <w:t>度</w:t>
      </w:r>
      <w:r>
        <w:rPr>
          <w:rFonts w:eastAsia="方正小标宋_GBK"/>
          <w:bCs/>
          <w:kern w:val="0"/>
          <w:sz w:val="40"/>
          <w:szCs w:val="44"/>
        </w:rPr>
        <w:t>绩效自评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</w:p>
    <w:bookmarkEnd w:id="2"/>
    <w:p>
      <w:pPr>
        <w:pStyle w:val="2"/>
        <w:keepNext/>
        <w:keepLines/>
        <w:spacing w:beforeAutospacing="0" w:afterAutospacing="0" w:line="360" w:lineRule="auto"/>
        <w:ind w:firstLine="640" w:firstLineChars="200"/>
        <w:jc w:val="both"/>
        <w:rPr>
          <w:rFonts w:hint="default" w:ascii="Times New Roman" w:hAnsi="Times New Roman" w:eastAsia="黑体"/>
          <w:b w:val="0"/>
          <w:bCs/>
          <w:sz w:val="32"/>
          <w:szCs w:val="44"/>
        </w:rPr>
      </w:pPr>
      <w:bookmarkStart w:id="3" w:name="_Toc14102"/>
      <w:bookmarkStart w:id="4" w:name="_Toc7843"/>
      <w:r>
        <w:rPr>
          <w:rFonts w:hint="default" w:ascii="Times New Roman" w:hAnsi="Times New Roman" w:eastAsia="黑体"/>
          <w:b w:val="0"/>
          <w:bCs/>
          <w:sz w:val="32"/>
          <w:szCs w:val="44"/>
        </w:rPr>
        <w:t>一、</w:t>
      </w:r>
      <w:r>
        <w:rPr>
          <w:rFonts w:ascii="Times New Roman" w:hAnsi="Times New Roman" w:eastAsia="黑体"/>
          <w:b w:val="0"/>
          <w:bCs/>
          <w:sz w:val="32"/>
          <w:szCs w:val="44"/>
        </w:rPr>
        <w:t>部门基本情况</w:t>
      </w:r>
      <w:bookmarkEnd w:id="3"/>
      <w:bookmarkEnd w:id="4"/>
    </w:p>
    <w:p>
      <w:pPr>
        <w:widowControl/>
        <w:spacing w:line="600" w:lineRule="exact"/>
        <w:ind w:firstLine="627" w:firstLineChars="196"/>
        <w:jc w:val="left"/>
        <w:outlineLvl w:val="1"/>
        <w:rPr>
          <w:rFonts w:ascii="Times New Roman" w:hAnsi="Times New Roman" w:eastAsia="仿宋_GB2312" w:cs="Times New Roman"/>
          <w:sz w:val="32"/>
          <w:szCs w:val="32"/>
        </w:rPr>
      </w:pPr>
      <w:bookmarkStart w:id="5" w:name="_Toc21087"/>
      <w:bookmarkStart w:id="6" w:name="_Toc29697"/>
      <w:r>
        <w:rPr>
          <w:rFonts w:hint="eastAsia" w:ascii="Times New Roman" w:hAnsi="Times New Roman" w:eastAsia="仿宋_GB2312" w:cs="Times New Roman"/>
          <w:sz w:val="32"/>
          <w:szCs w:val="32"/>
        </w:rPr>
        <w:t>1、职能职责</w:t>
      </w:r>
      <w:bookmarkEnd w:id="5"/>
      <w:bookmarkEnd w:id="6"/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（1）执行本级人民代表大会的决议和上级国家行政机关的决定和命令，发布决定和命令；  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（2）执行本行政区域内的经济和社会发展计划、预算，管理本行政区域内的经济、教育、科学、文化、卫生、体育事业和财政、民政、公安、司法行政、计划生育等行政工作；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（3）保护社会主义的全民所有的财产和劳动群众集体所有的财产，保护公民私人所有的合法财产，维护社会秩序，保障公民的人身权利、民主权利和其他权利； 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（4）保护各种经济组织的合法权益； 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（5）保障少数民族的权利和尊重少数民族的风俗习惯； 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（6）保障宪法和法律赋予妇女的男女平等、同工同酬和婚姻自由等各项权利；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（7）办理上级人民政府交办的其他事项。</w:t>
      </w:r>
    </w:p>
    <w:p>
      <w:pPr>
        <w:widowControl/>
        <w:spacing w:line="600" w:lineRule="exact"/>
        <w:ind w:firstLine="627" w:firstLineChars="196"/>
        <w:jc w:val="left"/>
        <w:outlineLvl w:val="1"/>
        <w:rPr>
          <w:rFonts w:ascii="Times New Roman" w:hAnsi="Times New Roman" w:eastAsia="仿宋_GB2312" w:cs="Times New Roman"/>
          <w:sz w:val="32"/>
          <w:szCs w:val="32"/>
        </w:rPr>
      </w:pPr>
      <w:bookmarkStart w:id="7" w:name="_Toc17414"/>
      <w:bookmarkStart w:id="8" w:name="_Toc25269"/>
      <w:r>
        <w:rPr>
          <w:rFonts w:hint="eastAsia" w:ascii="Times New Roman" w:hAnsi="Times New Roman" w:eastAsia="仿宋_GB2312" w:cs="Times New Roman"/>
          <w:sz w:val="32"/>
          <w:szCs w:val="32"/>
        </w:rPr>
        <w:t>2、机构设置</w:t>
      </w:r>
      <w:bookmarkEnd w:id="7"/>
      <w:bookmarkEnd w:id="8"/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资阳区张家塞乡人民政府设5个办公室和10个站所,分别为：党政综合办公室、人口和计划生育办公室、社会治安综合治理办公室、经济发展办公室、扶贫办公室、财政所、民政所、司法所、人力资源和社会保障站、安监站、公路站、文体卫站、农业综合服务站、国土规划建设环保所、经营管理统计站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</w:p>
    <w:p>
      <w:pPr>
        <w:pStyle w:val="2"/>
        <w:keepNext/>
        <w:keepLines/>
        <w:spacing w:beforeAutospacing="0" w:afterAutospacing="0" w:line="360" w:lineRule="auto"/>
        <w:ind w:firstLine="640" w:firstLineChars="200"/>
        <w:jc w:val="both"/>
        <w:rPr>
          <w:rFonts w:hint="default" w:ascii="Times New Roman" w:hAnsi="Times New Roman" w:eastAsia="黑体"/>
          <w:b w:val="0"/>
          <w:bCs/>
          <w:sz w:val="32"/>
          <w:szCs w:val="44"/>
        </w:rPr>
      </w:pPr>
      <w:bookmarkStart w:id="9" w:name="_Toc2761"/>
      <w:bookmarkStart w:id="10" w:name="_Toc11917"/>
      <w:r>
        <w:rPr>
          <w:rFonts w:hint="default" w:ascii="Times New Roman" w:hAnsi="Times New Roman" w:eastAsia="黑体"/>
          <w:b w:val="0"/>
          <w:bCs/>
          <w:sz w:val="32"/>
          <w:szCs w:val="44"/>
        </w:rPr>
        <w:t>二、部门预算单位构成</w:t>
      </w:r>
      <w:bookmarkEnd w:id="9"/>
      <w:bookmarkEnd w:id="10"/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资阳区张家塞乡人民政府只有本级，没有其他二级预算单位，因此，纳入2020年部门预算编制范围的只有资阳区张家塞乡人民政府。</w:t>
      </w:r>
    </w:p>
    <w:p>
      <w:pPr>
        <w:widowControl/>
        <w:spacing w:line="60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11" w:name="_Toc23681"/>
      <w:bookmarkStart w:id="12" w:name="_Toc10794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三、部门预算收支概况</w:t>
      </w:r>
      <w:bookmarkEnd w:id="11"/>
      <w:bookmarkEnd w:id="12"/>
    </w:p>
    <w:p>
      <w:pPr>
        <w:widowControl/>
        <w:shd w:val="clear" w:color="auto" w:fill="FFFFFF"/>
        <w:spacing w:before="150" w:line="600" w:lineRule="atLeast"/>
        <w:ind w:firstLine="640"/>
        <w:rPr>
          <w:color w:val="000000"/>
          <w:spacing w:val="-4"/>
          <w:sz w:val="32"/>
          <w:szCs w:val="32"/>
          <w:shd w:val="clear" w:color="auto" w:fill="FFFFFF"/>
        </w:rPr>
      </w:pPr>
      <w:r>
        <w:rPr>
          <w:rFonts w:hint="eastAsia"/>
          <w:color w:val="000000"/>
          <w:spacing w:val="-4"/>
          <w:sz w:val="32"/>
          <w:szCs w:val="32"/>
          <w:shd w:val="clear" w:color="auto" w:fill="FFFFFF"/>
        </w:rPr>
        <w:t>2020年部门预算仅包括本级预算。收入既包括一般公共预算和政府性基金收入，又包括事业单位经营服务等收入；支出既包括保障政府机关基本运行的经费，也包括政府归口管理专项经费。</w:t>
      </w:r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（一）收入预算：20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收入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预算数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万元，其中，一般公共预算经费拨款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907.09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万元，一般公共预算预内非税收入拨款安排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.5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万元，其他收入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64.35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/>
          <w:sz w:val="32"/>
          <w:szCs w:val="32"/>
        </w:rPr>
        <w:t>2019</w:t>
      </w:r>
      <w:r>
        <w:rPr>
          <w:rFonts w:ascii="仿宋" w:hAnsi="仿宋" w:eastAsia="仿宋"/>
          <w:sz w:val="32"/>
          <w:szCs w:val="32"/>
        </w:rPr>
        <w:t>年收入预算数960.08万元，其中，一般公共预算拨款870.08万元，纳入专户管理的非税收入10万元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ascii="仿宋" w:hAnsi="仿宋" w:eastAsia="仿宋"/>
          <w:sz w:val="32"/>
          <w:szCs w:val="32"/>
        </w:rPr>
        <w:t>其他收入80万元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收入较去年增加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17.86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万元，主要原因一是人员工资的增加；二是各项目资金的增加。本单位没有政府性基金预算收入，也就没有使用政府性基金预算安排的支出。</w:t>
      </w:r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（二）支出预算：20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支出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预算数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万元，其中，一般公共服务支出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424.21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万元，文化体育与传媒支出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3.5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万元，社会保障和就业支出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56.29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万元，医疗卫生与计划生育支出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61.21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万元，城乡社区支出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万元，农林水支出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402.83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万元，住房保障支出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28.9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/>
          <w:sz w:val="32"/>
          <w:szCs w:val="32"/>
        </w:rPr>
        <w:t>2019</w:t>
      </w:r>
      <w:r>
        <w:rPr>
          <w:rFonts w:ascii="仿宋" w:hAnsi="仿宋" w:eastAsia="仿宋"/>
          <w:sz w:val="32"/>
          <w:szCs w:val="32"/>
        </w:rPr>
        <w:t>年支出预算数960.08万元，其中，一般公共服务430.07万元，</w:t>
      </w:r>
      <w:r>
        <w:rPr>
          <w:rFonts w:hint="eastAsia" w:ascii="仿宋" w:hAnsi="仿宋" w:eastAsia="仿宋"/>
          <w:sz w:val="32"/>
          <w:szCs w:val="32"/>
        </w:rPr>
        <w:t>文化体育与传媒1万元，社会保障和就业</w:t>
      </w:r>
      <w:r>
        <w:rPr>
          <w:rFonts w:ascii="仿宋" w:hAnsi="仿宋" w:eastAsia="仿宋"/>
          <w:sz w:val="32"/>
          <w:szCs w:val="32"/>
        </w:rPr>
        <w:t>62.53</w:t>
      </w:r>
      <w:r>
        <w:rPr>
          <w:rFonts w:hint="eastAsia" w:ascii="仿宋" w:hAnsi="仿宋" w:eastAsia="仿宋"/>
          <w:sz w:val="32"/>
          <w:szCs w:val="32"/>
        </w:rPr>
        <w:t>万元，医疗卫生与计划生育</w:t>
      </w:r>
      <w:r>
        <w:rPr>
          <w:rFonts w:ascii="仿宋" w:hAnsi="仿宋" w:eastAsia="仿宋"/>
          <w:sz w:val="32"/>
          <w:szCs w:val="32"/>
        </w:rPr>
        <w:t>58.36</w:t>
      </w:r>
      <w:r>
        <w:rPr>
          <w:rFonts w:hint="eastAsia" w:ascii="仿宋" w:hAnsi="仿宋" w:eastAsia="仿宋"/>
          <w:sz w:val="32"/>
          <w:szCs w:val="32"/>
        </w:rPr>
        <w:t>万元，城乡社区1万元，农林水</w:t>
      </w:r>
      <w:r>
        <w:rPr>
          <w:rFonts w:ascii="仿宋" w:hAnsi="仿宋" w:eastAsia="仿宋"/>
          <w:sz w:val="32"/>
          <w:szCs w:val="32"/>
        </w:rPr>
        <w:t>380.13</w:t>
      </w:r>
      <w:r>
        <w:rPr>
          <w:rFonts w:hint="eastAsia" w:ascii="仿宋" w:hAnsi="仿宋" w:eastAsia="仿宋"/>
          <w:sz w:val="32"/>
          <w:szCs w:val="32"/>
        </w:rPr>
        <w:t>万元，住房保障</w:t>
      </w:r>
      <w:r>
        <w:rPr>
          <w:rFonts w:ascii="仿宋" w:hAnsi="仿宋" w:eastAsia="仿宋"/>
          <w:sz w:val="32"/>
          <w:szCs w:val="32"/>
        </w:rPr>
        <w:t>26.99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支出较去年增加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17.86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万元，主要原因一是人员工资的增加；二是各项目资金的增加。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13" w:name="_Toc22023"/>
      <w:bookmarkStart w:id="14" w:name="_Toc22744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四、一般公共预算拨款支出预算</w:t>
      </w:r>
      <w:bookmarkEnd w:id="13"/>
      <w:bookmarkEnd w:id="14"/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年一般公共预算拨款（解释：指经费拨款和纳入一般公共预算管理的非税收入拨款）收入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913.59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万元，具体安排情况如下：</w:t>
      </w:r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（一）基本支出：20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年年初预算数为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408.73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（二）项目支出：20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年年初预算数为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504.86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万元，是指单位为完成特定行政工作任务或事业发展目标而发生的支出，包括有关事业发展专项、专项业务费、基本建设支出等。其中：一般公共服务支出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149.18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万元，主要用于人大事务、政协事务、政府办公厅（室）及相关机构事务、群众团体事务、组织事务等方面；文化体育与传媒支出1万元，主要用于群众文化方面；社会保障和就业支出</w:t>
      </w:r>
      <w:r>
        <w:rPr>
          <w:rFonts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17.3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万元，主要用于民政管理事务、行政事业离退休等方面；城乡社区支出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万元，只要用于城管执法、其他城乡社区管理事务支出等方面；卫生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健康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支出3.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用于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其他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卫生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健康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支出；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农林水支出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332.78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万元，主要用于农业、对高校毕业生到基层任职补助、其他农业支出、农村综合改革等方面。</w:t>
      </w:r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15" w:name="_Toc27498"/>
      <w:bookmarkStart w:id="16" w:name="_Toc15191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五、其他重要事项的情况说明</w:t>
      </w:r>
      <w:bookmarkEnd w:id="15"/>
      <w:bookmarkEnd w:id="16"/>
    </w:p>
    <w:p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17" w:name="_Toc31724"/>
      <w:bookmarkStart w:id="18" w:name="_Toc3669"/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1、机关运行经费</w:t>
      </w:r>
      <w:bookmarkEnd w:id="17"/>
      <w:bookmarkEnd w:id="18"/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年镇内设党政综合办公室、财政所、人力资源和社会保障站等二级机构运行经费当年一般公共预算拨款</w:t>
      </w:r>
      <w:r>
        <w:rPr>
          <w:rFonts w:hint="eastAsia" w:ascii="Times New Roman" w:hAnsi="Times New Roman" w:eastAsia="微软雅黑" w:cs="Times New Roman"/>
          <w:kern w:val="0"/>
          <w:sz w:val="32"/>
          <w:szCs w:val="32"/>
          <w:shd w:val="clear" w:color="auto" w:fill="FFFFFF"/>
        </w:rPr>
        <w:t>94.65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万元，比201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年预算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减少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12.67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减少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11.81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%。原因是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压缩开支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19" w:name="_Toc12901"/>
      <w:bookmarkStart w:id="20" w:name="_Toc30222"/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2、“三公”经费预算</w:t>
      </w:r>
      <w:bookmarkEnd w:id="19"/>
      <w:bookmarkEnd w:id="20"/>
    </w:p>
    <w:p>
      <w:pPr>
        <w:widowControl/>
        <w:shd w:val="clear" w:color="auto" w:fill="FFFFFF"/>
        <w:spacing w:before="150" w:line="600" w:lineRule="atLeast"/>
        <w:ind w:firstLine="66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年“三公”经费预算数为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6.5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，即：公务接待费3万元，公务用车运行维护费3.5万元，较2019年持平。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21" w:name="_Toc2479"/>
      <w:bookmarkStart w:id="22" w:name="_Toc27570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六、国有资产及政府采购情况说明</w:t>
      </w:r>
      <w:bookmarkEnd w:id="21"/>
      <w:bookmarkEnd w:id="22"/>
    </w:p>
    <w:p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23" w:name="_Toc22428"/>
      <w:bookmarkStart w:id="24" w:name="_Toc15248"/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国有资产占用情况</w:t>
      </w:r>
      <w:bookmarkEnd w:id="23"/>
      <w:bookmarkEnd w:id="24"/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本部门共有车辆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 1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辆，其中，领导干部用车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辆，一般公务用车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辆，一般执法执勤用车0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辆，特种专业技术用车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辆，其他用车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辆。单位价值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50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万元以上通用设备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台，价值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100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万元以上专用设备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台。</w:t>
      </w:r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年部门预算安排增加（减少）车辆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台，预计购置单价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200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万元以上大型设备价值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台。  </w:t>
      </w:r>
    </w:p>
    <w:p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25" w:name="_Toc659"/>
      <w:bookmarkStart w:id="26" w:name="_Toc14367"/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2、政府采购安排情况</w:t>
      </w:r>
      <w:bookmarkEnd w:id="25"/>
      <w:bookmarkEnd w:id="26"/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张家塞乡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人民政府部门单位政府采购预算数额0万元，其中：政府采购货物预算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万元、政府采购工程预算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万元、政府采购服务预算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widowControl/>
        <w:shd w:val="clear" w:color="auto" w:fill="FFFFFF"/>
        <w:spacing w:before="150" w:line="600" w:lineRule="atLeast"/>
        <w:ind w:firstLine="643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27" w:name="_Toc30205"/>
      <w:bookmarkStart w:id="28" w:name="_Toc8078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七、预算绩效情况及其他重要事项</w:t>
      </w:r>
      <w:bookmarkEnd w:id="27"/>
      <w:bookmarkEnd w:id="28"/>
    </w:p>
    <w:p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29" w:name="_Toc22236"/>
      <w:bookmarkStart w:id="30" w:name="_Toc15742"/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1、重点项目预算的绩效目标等预算绩效情况说明</w:t>
      </w:r>
      <w:bookmarkEnd w:id="29"/>
      <w:bookmarkEnd w:id="30"/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本单位整体支出和项目支出实行绩效目标管理，纳入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2020年部门整体支出绩效目标的金额为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458.89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万元，项目支出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519.05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万元。本单位实行部门预算绩效目标管理的项目共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个，涉及一般公共预算拨款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</w:rPr>
        <w:t>907.09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万元，主要绩效目标是：（1）经济效益目标：项目资金的到位，保障了村级的安全运转，带动了农村经济发展，先进技术的引进给村级农民带来了实际收入的增长，减少了村级负债。（2）社会效益指标：系列公益性岗位津贴的到位，带动了本镇就业增长率，安全生产、综治维稳等专项经费的到位，减少了安全生产事故、信访事件的发生率，促进民生增长。（3）生态效益指标：美丽乡村建设、农村垃圾集中处理等，给本镇居民的生活环境提供了保障，生活质量明显提高。（4）服务对象满意指标：精准扶贫、安全生产、创文创卫等工作一致得到群众的认可，群众满意度达到较好水平。</w:t>
      </w:r>
    </w:p>
    <w:p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hAnsi="微软雅黑" w:eastAsia="微软雅黑" w:cs="微软雅黑"/>
          <w:color w:val="333333"/>
          <w:sz w:val="24"/>
        </w:rPr>
      </w:pPr>
      <w:bookmarkStart w:id="31" w:name="_Toc6481"/>
      <w:bookmarkStart w:id="32" w:name="_Toc17836"/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2、其他重要事项说明</w:t>
      </w:r>
      <w:bookmarkEnd w:id="31"/>
      <w:bookmarkEnd w:id="32"/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本单位无其他重要事项。</w:t>
      </w:r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微软雅黑" w:hAnsi="微软雅黑" w:eastAsia="微软雅黑" w:cs="微软雅黑"/>
          <w:b w:val="0"/>
          <w:color w:val="333333"/>
          <w:sz w:val="24"/>
          <w:szCs w:val="24"/>
        </w:rPr>
      </w:pPr>
      <w:bookmarkStart w:id="33" w:name="_Toc1348"/>
      <w:bookmarkStart w:id="34" w:name="_Toc17730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八、名词解释</w:t>
      </w:r>
      <w:bookmarkEnd w:id="33"/>
      <w:bookmarkEnd w:id="34"/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、机关运行经费：为保障行政单位（包括参照公务员法管理的事业单位）运行，用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一般公共预算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hd w:val="clear" w:color="auto" w:fill="FFFFFF"/>
        <w:spacing w:before="150" w:line="600" w:lineRule="atLeast"/>
        <w:ind w:firstLine="66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经费：纳入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区级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财政预算管理的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经费，是指用一般公共预算拨款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（经费拨款和纳入一般公共预算管理的非税收入拨款）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，以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及燃料费、维修费、保险费等支出；因公出国（境）费反映单位公务出国（境）的国际旅费、国外城市间交通费、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食</w:t>
      </w:r>
      <w:r>
        <w:rPr>
          <w:rFonts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</w:rPr>
        <w:t>宿费等支出。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第二部分</w:t>
      </w:r>
    </w:p>
    <w:p>
      <w:pPr>
        <w:widowControl/>
        <w:shd w:val="clear" w:color="auto" w:fill="FFFFFF"/>
        <w:spacing w:before="150" w:line="600" w:lineRule="atLeast"/>
        <w:ind w:firstLine="723"/>
        <w:outlineLvl w:val="0"/>
        <w:rPr>
          <w:rFonts w:ascii="微软雅黑" w:hAnsi="微软雅黑" w:eastAsia="微软雅黑" w:cs="微软雅黑"/>
          <w:color w:val="333333"/>
          <w:sz w:val="24"/>
        </w:rPr>
      </w:pPr>
      <w:bookmarkStart w:id="35" w:name="_Toc8582"/>
      <w:bookmarkStart w:id="36" w:name="_Toc8755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color="auto" w:fill="FFFFFF"/>
        </w:rPr>
        <w:t>部门预算需公开的表格情况（见附表）</w:t>
      </w:r>
      <w:bookmarkEnd w:id="35"/>
      <w:bookmarkEnd w:id="36"/>
    </w:p>
    <w:p>
      <w:pPr>
        <w:widowControl/>
        <w:shd w:val="clear" w:color="auto" w:fill="FFFFFF"/>
        <w:spacing w:before="150" w:line="600" w:lineRule="atLeast"/>
        <w:ind w:firstLine="64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1、收支预算总表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2、收入预算总表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3、支出预算总表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4、支出预算分类汇总表（按部门预算</w:t>
      </w:r>
      <w:bookmarkStart w:id="37" w:name="_GoBack"/>
      <w:bookmarkEnd w:id="37"/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5、 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6、财政拨款收支预算表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7、一般公共预算支出预算分类汇总表（按部门预算经济分类）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8、一般公共预算支出预算分类汇总表（按政府预算经济分类）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9、政府性基金拨款支出预算分类汇总表（按部门预算经济分类）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10、政府性基金拨款支出预算分类汇总表（按政府预算经济分类）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eastAsia="仿宋_GB2312"/>
          <w:color w:val="000000"/>
          <w:sz w:val="32"/>
          <w:szCs w:val="32"/>
        </w:rPr>
        <w:t>一般公共预算基本支出表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商品和服务支出（按部门预算经济分类）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商品和服务支出（按政府预算经济分类）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商品和服务支出（按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部门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预算经济分类）</w:t>
      </w:r>
    </w:p>
    <w:p>
      <w:pPr>
        <w:widowControl/>
        <w:shd w:val="clear" w:color="auto" w:fill="FFFFFF"/>
        <w:spacing w:before="150" w:line="60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商品和服务支出（按政府预算经济分类）</w:t>
      </w:r>
    </w:p>
    <w:p>
      <w:pPr>
        <w:widowControl/>
        <w:shd w:val="clear" w:color="auto" w:fill="FFFFFF"/>
        <w:spacing w:before="150" w:line="600" w:lineRule="atLeast"/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、“三公”经费情况表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一般公共预算</w:t>
      </w:r>
      <w:bookmarkEnd w:id="0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8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FmYjBjMjg5MzU1ODc0ZDAwODIwMjczYTg1YmEwN2MifQ=="/>
  </w:docVars>
  <w:rsids>
    <w:rsidRoot w:val="312814BB"/>
    <w:rsid w:val="000A252F"/>
    <w:rsid w:val="000E7A22"/>
    <w:rsid w:val="001627B2"/>
    <w:rsid w:val="00213F08"/>
    <w:rsid w:val="002D4F5B"/>
    <w:rsid w:val="0034282D"/>
    <w:rsid w:val="00357A85"/>
    <w:rsid w:val="004E7EC0"/>
    <w:rsid w:val="005B6AA5"/>
    <w:rsid w:val="005E2AF5"/>
    <w:rsid w:val="008254E7"/>
    <w:rsid w:val="00942421"/>
    <w:rsid w:val="00A64171"/>
    <w:rsid w:val="00A96BEC"/>
    <w:rsid w:val="00AA0DA5"/>
    <w:rsid w:val="00B5794E"/>
    <w:rsid w:val="00C812DE"/>
    <w:rsid w:val="00CA4CF1"/>
    <w:rsid w:val="00D6459F"/>
    <w:rsid w:val="00F4237D"/>
    <w:rsid w:val="00F47103"/>
    <w:rsid w:val="00F76728"/>
    <w:rsid w:val="00FC289E"/>
    <w:rsid w:val="01EC3F35"/>
    <w:rsid w:val="029D6C92"/>
    <w:rsid w:val="062026AF"/>
    <w:rsid w:val="06395821"/>
    <w:rsid w:val="08264D0F"/>
    <w:rsid w:val="09120A2F"/>
    <w:rsid w:val="092C5765"/>
    <w:rsid w:val="0E43693A"/>
    <w:rsid w:val="11DD2AAC"/>
    <w:rsid w:val="167D332D"/>
    <w:rsid w:val="24540483"/>
    <w:rsid w:val="274A2144"/>
    <w:rsid w:val="29240CC3"/>
    <w:rsid w:val="2972103F"/>
    <w:rsid w:val="29FD5FA7"/>
    <w:rsid w:val="312814BB"/>
    <w:rsid w:val="314E29FB"/>
    <w:rsid w:val="341C4C96"/>
    <w:rsid w:val="3866404D"/>
    <w:rsid w:val="3BEA0200"/>
    <w:rsid w:val="488A099C"/>
    <w:rsid w:val="49E7599F"/>
    <w:rsid w:val="4DCB5849"/>
    <w:rsid w:val="531C6E8E"/>
    <w:rsid w:val="57725F3B"/>
    <w:rsid w:val="5ED26229"/>
    <w:rsid w:val="61CA2974"/>
    <w:rsid w:val="67B71934"/>
    <w:rsid w:val="6B0D68C7"/>
    <w:rsid w:val="73077163"/>
    <w:rsid w:val="73FE4D40"/>
    <w:rsid w:val="7865091B"/>
    <w:rsid w:val="78A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3165</Words>
  <Characters>3391</Characters>
  <Lines>24</Lines>
  <Paragraphs>6</Paragraphs>
  <TotalTime>61</TotalTime>
  <ScaleCrop>false</ScaleCrop>
  <LinksUpToDate>false</LinksUpToDate>
  <CharactersWithSpaces>3410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2020-01-01T01:15:00Z</dcterms:created>
  <dc:creator>Administrator</dc:creator>
  <cp:lastModifiedBy>尹</cp:lastModifiedBy>
  <cp:lastPrinted>2020-01-19T09:07:00Z</cp:lastPrinted>
  <dcterms:modified xsi:type="dcterms:W3CDTF">2022-06-15T03:30:39Z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7B68D8E74FED43B69C547854A4C90F7F</vt:lpwstr>
  </property>
</Properties>
</file>