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 w:cs="宋体"/>
          <w:b/>
          <w:color w:val="333333"/>
          <w:kern w:val="0"/>
          <w:sz w:val="22"/>
        </w:rPr>
      </w:pPr>
      <w:r>
        <w:rPr>
          <w:rFonts w:hint="eastAsia" w:ascii="方正小标宋简体" w:hAnsi="宋体" w:eastAsia="方正小标宋简体" w:cs="宋体"/>
          <w:b/>
          <w:color w:val="333333"/>
          <w:kern w:val="0"/>
          <w:sz w:val="44"/>
          <w:szCs w:val="44"/>
        </w:rPr>
        <w:t>益阳市资阳区人民代表大会常务委员会2020年整体支出绩效评价报告</w:t>
      </w:r>
    </w:p>
    <w:p>
      <w:pPr>
        <w:widowControl/>
        <w:shd w:val="clear" w:color="auto" w:fill="FFFFFF"/>
        <w:spacing w:line="560" w:lineRule="atLeast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为进一步规范人大机关资金管理，牢固树立预算绩效理念，强化支出责任，提高资金使用效益，按照相关文件要求，区人大机关对2020年度部门预算整体支出情况进行了自我评价，情况报告如下:</w:t>
      </w:r>
    </w:p>
    <w:p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一、单位概况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2020年，资阳区人大共设一办八委九个正科级工作机构。区人大常委会设下设机构2个：办公室（研究室）、选举任免联络工作委员会；区人民代表大会设专门委员会7个：民族华侨外事委员会、监察和司法委员会、财政经济委员会、教育科学文化卫生委员会、环境与资源保护委员会、农业与农村委员会、社会建设委员会。法制委员会与监察和司法委员会合署办公，预算工作委员会与财政经济委员会合署办公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机关共有人员84名，其中退休人员38名，工作人员46名。区人大常委会组成人员共25名，其中主任、副主任6名，委员19名。区五届人大共有代表197名，编组在我区的市6届人大代表45名，我区产生的省13届人大代表4名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宪法规定：人民代表大会制度是国家根本政治制度，人大常委会是代表人民行使国家权力的机关。地方各级人民代表大会常务委员会的职权是《组织法》确定的，其中县（区）级人大常委会共有十四项职权，概括为四大类。一是监督权，监督同级人民政府、人民法院和人民检察院的工作。二是执法检查权，在本行政区域内，保证宪法、法律、行政法规和上级人民代表大会及其常务委员会决议的遵守和执行。三是重大事项决定权，讨论决定本行政区域内政治、经济、教育、科技、文化、卫生、环境和资源保护、民政、民族等工作的重大事项。四是人事任免权。</w:t>
      </w:r>
    </w:p>
    <w:p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二、单位整体支出管理及使用情况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1、收入情况：</w:t>
      </w:r>
      <w:r>
        <w:rPr>
          <w:rFonts w:hint="eastAsia" w:ascii="仿宋" w:hAnsi="仿宋" w:eastAsia="仿宋" w:cs="仿宋_GB2312"/>
          <w:sz w:val="32"/>
          <w:szCs w:val="32"/>
        </w:rPr>
        <w:t>2020年，全年总收入883.8万元，其中：预算内收入871.38万元，预算外收入12.42万元。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2、支出情况：</w:t>
      </w:r>
      <w:r>
        <w:rPr>
          <w:rFonts w:hint="eastAsia" w:ascii="仿宋" w:hAnsi="仿宋" w:eastAsia="仿宋" w:cs="仿宋_GB2312"/>
          <w:sz w:val="32"/>
          <w:szCs w:val="32"/>
        </w:rPr>
        <w:t>2020年，总支出为1039.28万元，其中：</w:t>
      </w: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= 1 \* GB2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⑴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、工资福利支出625.92万元，占总支出的60.2%，用于在职人员工资、津贴、奖金、车补、绩效考核奖励、社保、食堂及工作人员费用。</w:t>
      </w: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= 2 \* GB2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⑵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、商品和服务支出347.4万元，占总支出的33.4%，用于人大机关办公、印刷、水电、维修、物业管理、接待、劳务费、会议、公车运行维护、工会经费及其他商品和服务支出。</w:t>
      </w: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= 3 \* GB2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⑶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对个人和家庭补助支出23.52万元，占总支出的2.3%，主要为探访慰问、退休人员春节慰问，八一节慰问费用等。</w:t>
      </w: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= 4 \* GB2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⑷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资本性支出42.44万元，占总支出的4.1%，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3、收支结余情况：</w:t>
      </w:r>
      <w:r>
        <w:rPr>
          <w:rFonts w:hint="eastAsia" w:ascii="仿宋" w:hAnsi="仿宋" w:eastAsia="仿宋" w:cs="仿宋_GB2312"/>
          <w:sz w:val="32"/>
          <w:szCs w:val="32"/>
        </w:rPr>
        <w:t>2020年收支结余-155.48万元，支出超出年初预算的原因是：区人大机关办公楼整体搬迁、提质改造经费69.68万元，人员新进和计算口径的差别，形成医保缺口13万元、养老保险缺口12.6万元、公积金缺口12.5万元，另绩效考核单位配套部分缺口25.7万元，工会经费缺口22万元。</w:t>
      </w:r>
    </w:p>
    <w:p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三、部门整体支出绩效情况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区人大机关将绩效理念和方法融入预算编制、执行、监督全过程，覆盖所有资金，不断优化资源配置，推动资金聚力增效，提高公共服务供给质量。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1、认真执行了年初部门预算和相关政策要求</w:t>
      </w:r>
      <w:r>
        <w:rPr>
          <w:rFonts w:hint="eastAsia" w:ascii="仿宋" w:hAnsi="仿宋" w:eastAsia="仿宋" w:cs="仿宋_GB2312"/>
          <w:sz w:val="32"/>
          <w:szCs w:val="32"/>
        </w:rPr>
        <w:t>。机关工作经费安排严格按照年初预算来执行；认真学习财经法规，严格执行财经纪律，防止了违法违纪行为的发生。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2、保障了机关有效运转。</w:t>
      </w:r>
      <w:r>
        <w:rPr>
          <w:rFonts w:hint="eastAsia" w:ascii="仿宋" w:hAnsi="仿宋" w:eastAsia="仿宋" w:cs="仿宋_GB2312"/>
          <w:sz w:val="32"/>
          <w:szCs w:val="32"/>
        </w:rPr>
        <w:t>严格按照厉行节约的要求，精打细算，规范机关事务管理工作，进一步在机关财务、公务用车、公务接待、物业等方面加强集中管理，提高服务质量，降低运行成本，合理配置，提高保障能力。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3、用好用活了专项资金。</w:t>
      </w:r>
      <w:r>
        <w:rPr>
          <w:rFonts w:hint="eastAsia" w:ascii="仿宋" w:hAnsi="仿宋" w:eastAsia="仿宋" w:cs="仿宋_GB2312"/>
          <w:sz w:val="32"/>
          <w:szCs w:val="32"/>
        </w:rPr>
        <w:t>根据要求，做好了代表补选、常委会议、人代会、农产品质量安全行、三湘农民健康万里行、涉法涉信访督办，人大干部学习培训、代表视察、调研规范性文件备案等工作。</w:t>
      </w:r>
    </w:p>
    <w:p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五、存在的主要问题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（一）监督管理机制还有待加强。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（二）财务工作水平要进一步提高。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（三）会计基础工作还需要不断完善。</w:t>
      </w:r>
    </w:p>
    <w:p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六、改进措施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（一）加强监管，做到监管机制环环相扣，不出现断层、漏洞。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（二）进一步完善财务制度，规范财经纪律。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（三）财务工作人员的业务能力要与时俱进，通过各种渠道和方式加强学习。  </w:t>
      </w:r>
    </w:p>
    <w:p>
      <w:pPr>
        <w:pStyle w:val="16"/>
        <w:widowControl/>
        <w:spacing w:line="540" w:lineRule="exac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1104" w:firstLineChars="345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4956" w:firstLineChars="1549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 </w:t>
      </w:r>
      <w:r>
        <w:rPr>
          <w:rFonts w:hint="eastAsia" w:ascii="仿宋" w:hAnsi="仿宋" w:eastAsia="仿宋" w:cs="仿宋_GB2312"/>
          <w:sz w:val="32"/>
          <w:szCs w:val="32"/>
        </w:rPr>
        <w:t>2021年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月12日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9C6"/>
    <w:rsid w:val="00001231"/>
    <w:rsid w:val="00012549"/>
    <w:rsid w:val="0002337A"/>
    <w:rsid w:val="00043672"/>
    <w:rsid w:val="0005626D"/>
    <w:rsid w:val="00062418"/>
    <w:rsid w:val="000B3E7B"/>
    <w:rsid w:val="000C4638"/>
    <w:rsid w:val="000E0D4B"/>
    <w:rsid w:val="001045A2"/>
    <w:rsid w:val="0013720C"/>
    <w:rsid w:val="00166DB4"/>
    <w:rsid w:val="001A5DB7"/>
    <w:rsid w:val="00213099"/>
    <w:rsid w:val="0023115F"/>
    <w:rsid w:val="002377A7"/>
    <w:rsid w:val="00241984"/>
    <w:rsid w:val="00242AC5"/>
    <w:rsid w:val="002448F8"/>
    <w:rsid w:val="00256E87"/>
    <w:rsid w:val="002861DF"/>
    <w:rsid w:val="00297485"/>
    <w:rsid w:val="00297621"/>
    <w:rsid w:val="002B059D"/>
    <w:rsid w:val="002B17E9"/>
    <w:rsid w:val="002C14EF"/>
    <w:rsid w:val="002F011E"/>
    <w:rsid w:val="002F7A6A"/>
    <w:rsid w:val="00314D96"/>
    <w:rsid w:val="00324FA9"/>
    <w:rsid w:val="00380CC1"/>
    <w:rsid w:val="00385A3C"/>
    <w:rsid w:val="00385A81"/>
    <w:rsid w:val="003B34F6"/>
    <w:rsid w:val="003C483A"/>
    <w:rsid w:val="003D2DD9"/>
    <w:rsid w:val="003F1A4A"/>
    <w:rsid w:val="003F77D3"/>
    <w:rsid w:val="004076BA"/>
    <w:rsid w:val="00435E7D"/>
    <w:rsid w:val="00436286"/>
    <w:rsid w:val="00444B87"/>
    <w:rsid w:val="004A3DE7"/>
    <w:rsid w:val="004A52B2"/>
    <w:rsid w:val="004C6A3A"/>
    <w:rsid w:val="004D1CA3"/>
    <w:rsid w:val="00505676"/>
    <w:rsid w:val="00517018"/>
    <w:rsid w:val="00517869"/>
    <w:rsid w:val="00517DC6"/>
    <w:rsid w:val="0053497A"/>
    <w:rsid w:val="00540484"/>
    <w:rsid w:val="00552F60"/>
    <w:rsid w:val="00562FCD"/>
    <w:rsid w:val="00574376"/>
    <w:rsid w:val="00576EE1"/>
    <w:rsid w:val="00584F51"/>
    <w:rsid w:val="0058535E"/>
    <w:rsid w:val="005877E1"/>
    <w:rsid w:val="005C4449"/>
    <w:rsid w:val="005E5BC5"/>
    <w:rsid w:val="005F7620"/>
    <w:rsid w:val="00613C19"/>
    <w:rsid w:val="00657661"/>
    <w:rsid w:val="006625A2"/>
    <w:rsid w:val="006A79EE"/>
    <w:rsid w:val="006D59F4"/>
    <w:rsid w:val="006E5AE5"/>
    <w:rsid w:val="006F5F86"/>
    <w:rsid w:val="007111DF"/>
    <w:rsid w:val="00714414"/>
    <w:rsid w:val="00764D24"/>
    <w:rsid w:val="007651B1"/>
    <w:rsid w:val="00776EE7"/>
    <w:rsid w:val="007A3AFC"/>
    <w:rsid w:val="007C74EF"/>
    <w:rsid w:val="007E324A"/>
    <w:rsid w:val="008138E3"/>
    <w:rsid w:val="008250CB"/>
    <w:rsid w:val="00831EA2"/>
    <w:rsid w:val="00853D73"/>
    <w:rsid w:val="00886C3A"/>
    <w:rsid w:val="008A4D71"/>
    <w:rsid w:val="008C526F"/>
    <w:rsid w:val="008F572A"/>
    <w:rsid w:val="008F5A24"/>
    <w:rsid w:val="00930C0D"/>
    <w:rsid w:val="00980152"/>
    <w:rsid w:val="00980D1B"/>
    <w:rsid w:val="00996E2C"/>
    <w:rsid w:val="009A41A2"/>
    <w:rsid w:val="009B0EA6"/>
    <w:rsid w:val="009D7B03"/>
    <w:rsid w:val="009E59C6"/>
    <w:rsid w:val="00A0250D"/>
    <w:rsid w:val="00A37B0A"/>
    <w:rsid w:val="00A4050F"/>
    <w:rsid w:val="00A77E3C"/>
    <w:rsid w:val="00A82EE4"/>
    <w:rsid w:val="00A907F0"/>
    <w:rsid w:val="00AB40DC"/>
    <w:rsid w:val="00AC3E1A"/>
    <w:rsid w:val="00AE1724"/>
    <w:rsid w:val="00AE1F21"/>
    <w:rsid w:val="00AF6E04"/>
    <w:rsid w:val="00B16FD4"/>
    <w:rsid w:val="00B4129C"/>
    <w:rsid w:val="00B422BE"/>
    <w:rsid w:val="00B6323B"/>
    <w:rsid w:val="00B71512"/>
    <w:rsid w:val="00B76A80"/>
    <w:rsid w:val="00B8742F"/>
    <w:rsid w:val="00B8773A"/>
    <w:rsid w:val="00BC7F57"/>
    <w:rsid w:val="00BD5DA1"/>
    <w:rsid w:val="00C419AE"/>
    <w:rsid w:val="00C67C5E"/>
    <w:rsid w:val="00C80398"/>
    <w:rsid w:val="00CA2152"/>
    <w:rsid w:val="00CC3173"/>
    <w:rsid w:val="00CE3E98"/>
    <w:rsid w:val="00D0235A"/>
    <w:rsid w:val="00D02935"/>
    <w:rsid w:val="00D222A6"/>
    <w:rsid w:val="00D332EE"/>
    <w:rsid w:val="00D45C32"/>
    <w:rsid w:val="00D524A0"/>
    <w:rsid w:val="00D646CF"/>
    <w:rsid w:val="00D64986"/>
    <w:rsid w:val="00DB5C4E"/>
    <w:rsid w:val="00DB6859"/>
    <w:rsid w:val="00DB6E44"/>
    <w:rsid w:val="00DC13C4"/>
    <w:rsid w:val="00DC5E81"/>
    <w:rsid w:val="00DD3868"/>
    <w:rsid w:val="00DF04BA"/>
    <w:rsid w:val="00E676DE"/>
    <w:rsid w:val="00E67E28"/>
    <w:rsid w:val="00E7242A"/>
    <w:rsid w:val="00E8259A"/>
    <w:rsid w:val="00EC50A4"/>
    <w:rsid w:val="00ED50FB"/>
    <w:rsid w:val="00ED58AA"/>
    <w:rsid w:val="00F041E5"/>
    <w:rsid w:val="00F2789C"/>
    <w:rsid w:val="00F35553"/>
    <w:rsid w:val="00F35B70"/>
    <w:rsid w:val="00F575B4"/>
    <w:rsid w:val="00F61379"/>
    <w:rsid w:val="00F77BBB"/>
    <w:rsid w:val="00F97C0A"/>
    <w:rsid w:val="00FB3DBD"/>
    <w:rsid w:val="00FC270C"/>
    <w:rsid w:val="00FD52EE"/>
    <w:rsid w:val="00FE5AB6"/>
    <w:rsid w:val="279E6A5D"/>
    <w:rsid w:val="69344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18"/>
    <w:basedOn w:val="1"/>
    <w:qFormat/>
    <w:uiPriority w:val="0"/>
    <w:pPr>
      <w:spacing w:line="772" w:lineRule="atLeast"/>
      <w:jc w:val="left"/>
    </w:pPr>
    <w:rPr>
      <w:rFonts w:ascii="songti sc" w:hAnsi="songti sc" w:eastAsia="songti sc" w:cs="Times New Roman"/>
      <w:color w:val="000000"/>
      <w:kern w:val="0"/>
      <w:sz w:val="42"/>
      <w:szCs w:val="42"/>
    </w:rPr>
  </w:style>
  <w:style w:type="paragraph" w:customStyle="1" w:styleId="10">
    <w:name w:val="p10"/>
    <w:basedOn w:val="1"/>
    <w:qFormat/>
    <w:uiPriority w:val="0"/>
    <w:pPr>
      <w:spacing w:line="772" w:lineRule="atLeast"/>
      <w:ind w:firstLine="858"/>
    </w:pPr>
    <w:rPr>
      <w:rFonts w:ascii="仿宋" w:hAnsi="仿宋" w:eastAsia="仿宋" w:cs="Times New Roman"/>
      <w:color w:val="000000"/>
      <w:kern w:val="0"/>
      <w:sz w:val="42"/>
      <w:szCs w:val="42"/>
    </w:rPr>
  </w:style>
  <w:style w:type="paragraph" w:customStyle="1" w:styleId="11">
    <w:name w:val="p14"/>
    <w:basedOn w:val="1"/>
    <w:qFormat/>
    <w:uiPriority w:val="0"/>
    <w:pPr>
      <w:spacing w:line="772" w:lineRule="atLeast"/>
      <w:ind w:left="100" w:firstLine="858"/>
      <w:jc w:val="left"/>
    </w:pPr>
    <w:rPr>
      <w:rFonts w:ascii="仿宋" w:hAnsi="仿宋" w:eastAsia="仿宋" w:cs="Times New Roman"/>
      <w:color w:val="000000"/>
      <w:kern w:val="0"/>
      <w:sz w:val="42"/>
      <w:szCs w:val="42"/>
    </w:rPr>
  </w:style>
  <w:style w:type="paragraph" w:customStyle="1" w:styleId="12">
    <w:name w:val="p9"/>
    <w:basedOn w:val="1"/>
    <w:qFormat/>
    <w:uiPriority w:val="0"/>
    <w:pPr>
      <w:spacing w:line="772" w:lineRule="atLeast"/>
      <w:ind w:firstLine="858"/>
    </w:pPr>
    <w:rPr>
      <w:rFonts w:ascii="华文仿宋" w:hAnsi="华文仿宋" w:eastAsia="华文仿宋" w:cs="Times New Roman"/>
      <w:color w:val="000000"/>
      <w:kern w:val="0"/>
      <w:sz w:val="42"/>
      <w:szCs w:val="42"/>
    </w:rPr>
  </w:style>
  <w:style w:type="paragraph" w:customStyle="1" w:styleId="13">
    <w:name w:val="p13"/>
    <w:basedOn w:val="1"/>
    <w:qFormat/>
    <w:uiPriority w:val="0"/>
    <w:pPr>
      <w:spacing w:line="772" w:lineRule="atLeast"/>
      <w:ind w:firstLine="852"/>
      <w:jc w:val="left"/>
    </w:pPr>
    <w:rPr>
      <w:rFonts w:ascii="仿宋" w:hAnsi="仿宋" w:eastAsia="仿宋" w:cs="Times New Roman"/>
      <w:color w:val="000000"/>
      <w:kern w:val="0"/>
      <w:sz w:val="42"/>
      <w:szCs w:val="42"/>
    </w:rPr>
  </w:style>
  <w:style w:type="paragraph" w:customStyle="1" w:styleId="14">
    <w:name w:val="p4"/>
    <w:basedOn w:val="1"/>
    <w:qFormat/>
    <w:uiPriority w:val="0"/>
    <w:pPr>
      <w:spacing w:line="772" w:lineRule="atLeast"/>
      <w:ind w:firstLine="852"/>
    </w:pPr>
    <w:rPr>
      <w:rFonts w:ascii="songti sc" w:hAnsi="songti sc" w:eastAsia="songti sc" w:cs="Times New Roman"/>
      <w:color w:val="000000"/>
      <w:kern w:val="0"/>
      <w:sz w:val="42"/>
      <w:szCs w:val="42"/>
    </w:rPr>
  </w:style>
  <w:style w:type="paragraph" w:customStyle="1" w:styleId="15">
    <w:name w:val="p7"/>
    <w:basedOn w:val="1"/>
    <w:qFormat/>
    <w:uiPriority w:val="0"/>
    <w:pPr>
      <w:spacing w:line="772" w:lineRule="atLeast"/>
      <w:ind w:firstLine="852"/>
    </w:pPr>
    <w:rPr>
      <w:rFonts w:ascii="黑体" w:hAnsi="黑体" w:eastAsia="黑体" w:cs="Times New Roman"/>
      <w:color w:val="000000"/>
      <w:kern w:val="0"/>
      <w:sz w:val="42"/>
      <w:szCs w:val="42"/>
    </w:rPr>
  </w:style>
  <w:style w:type="paragraph" w:customStyle="1" w:styleId="16">
    <w:name w:val="p12"/>
    <w:basedOn w:val="1"/>
    <w:qFormat/>
    <w:uiPriority w:val="0"/>
    <w:pPr>
      <w:spacing w:line="772" w:lineRule="atLeast"/>
      <w:ind w:firstLine="852"/>
      <w:jc w:val="left"/>
    </w:pPr>
    <w:rPr>
      <w:rFonts w:ascii="黑体" w:hAnsi="黑体" w:eastAsia="黑体" w:cs="Times New Roman"/>
      <w:color w:val="000000"/>
      <w:kern w:val="0"/>
      <w:sz w:val="42"/>
      <w:szCs w:val="42"/>
    </w:rPr>
  </w:style>
  <w:style w:type="paragraph" w:customStyle="1" w:styleId="17">
    <w:name w:val="p11"/>
    <w:basedOn w:val="1"/>
    <w:qFormat/>
    <w:uiPriority w:val="0"/>
    <w:pPr>
      <w:spacing w:line="772" w:lineRule="atLeast"/>
      <w:ind w:firstLine="858"/>
      <w:jc w:val="left"/>
    </w:pPr>
    <w:rPr>
      <w:rFonts w:ascii="仿宋" w:hAnsi="仿宋" w:eastAsia="仿宋" w:cs="Times New Roman"/>
      <w:color w:val="000000"/>
      <w:kern w:val="0"/>
      <w:sz w:val="42"/>
      <w:szCs w:val="42"/>
    </w:rPr>
  </w:style>
  <w:style w:type="paragraph" w:customStyle="1" w:styleId="18">
    <w:name w:val="p8"/>
    <w:basedOn w:val="1"/>
    <w:qFormat/>
    <w:uiPriority w:val="0"/>
    <w:pPr>
      <w:spacing w:line="772" w:lineRule="atLeast"/>
      <w:ind w:firstLine="858"/>
    </w:pPr>
    <w:rPr>
      <w:rFonts w:ascii="songti sc" w:hAnsi="songti sc" w:eastAsia="songti sc" w:cs="Times New Roman"/>
      <w:color w:val="000000"/>
      <w:kern w:val="0"/>
      <w:sz w:val="42"/>
      <w:szCs w:val="42"/>
    </w:rPr>
  </w:style>
  <w:style w:type="character" w:customStyle="1" w:styleId="19">
    <w:name w:val="s7"/>
    <w:basedOn w:val="6"/>
    <w:qFormat/>
    <w:uiPriority w:val="0"/>
    <w:rPr>
      <w:rFonts w:hint="default" w:ascii="songti sc" w:hAnsi="songti sc" w:eastAsia="songti sc" w:cs="songti sc"/>
      <w:sz w:val="42"/>
      <w:szCs w:val="42"/>
    </w:rPr>
  </w:style>
  <w:style w:type="character" w:customStyle="1" w:styleId="20">
    <w:name w:val="s6"/>
    <w:basedOn w:val="6"/>
    <w:qFormat/>
    <w:uiPriority w:val="0"/>
    <w:rPr>
      <w:rFonts w:hint="eastAsia" w:ascii="楷体" w:hAnsi="楷体" w:eastAsia="楷体" w:cs="楷体"/>
      <w:sz w:val="42"/>
      <w:szCs w:val="42"/>
    </w:rPr>
  </w:style>
  <w:style w:type="character" w:customStyle="1" w:styleId="21">
    <w:name w:val="s5"/>
    <w:basedOn w:val="6"/>
    <w:qFormat/>
    <w:uiPriority w:val="0"/>
  </w:style>
  <w:style w:type="character" w:customStyle="1" w:styleId="22">
    <w:name w:val="s4"/>
    <w:basedOn w:val="6"/>
    <w:qFormat/>
    <w:uiPriority w:val="0"/>
    <w:rPr>
      <w:rFonts w:hint="default" w:ascii="Times" w:hAnsi="Times" w:eastAsia="Times" w:cs="Times"/>
      <w:sz w:val="42"/>
      <w:szCs w:val="42"/>
    </w:rPr>
  </w:style>
  <w:style w:type="character" w:customStyle="1" w:styleId="23">
    <w:name w:val="s8"/>
    <w:basedOn w:val="6"/>
    <w:qFormat/>
    <w:uiPriority w:val="0"/>
    <w:rPr>
      <w:rFonts w:hint="eastAsia" w:ascii="仿宋" w:hAnsi="仿宋" w:eastAsia="仿宋" w:cs="仿宋"/>
      <w:sz w:val="42"/>
      <w:szCs w:val="42"/>
    </w:rPr>
  </w:style>
  <w:style w:type="paragraph" w:customStyle="1" w:styleId="24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C4F6C-A2AE-4C23-B53C-58EA10BB7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1467</Characters>
  <Lines>12</Lines>
  <Paragraphs>3</Paragraphs>
  <TotalTime>2054</TotalTime>
  <ScaleCrop>false</ScaleCrop>
  <LinksUpToDate>false</LinksUpToDate>
  <CharactersWithSpaces>1721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2018-09-26T02:24:00Z</dcterms:created>
  <dc:creator>admin</dc:creator>
  <cp:lastModifiedBy>海棠</cp:lastModifiedBy>
  <cp:lastPrinted>2020-04-30T02:35:00Z</cp:lastPrinted>
  <dcterms:modified xsi:type="dcterms:W3CDTF">2022-07-17T04:04:56Z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6A8DC1BE74FA49A68E4725AFD0BC6748</vt:lpwstr>
  </property>
</Properties>
</file>