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2100" w:type="dxa"/>
        <w:jc w:val="center"/>
        <w:tblLayout w:type="autofit"/>
        <w:tblCellMar>
          <w:top w:w="0" w:type="dxa"/>
          <w:left w:w="108" w:type="dxa"/>
          <w:bottom w:w="0" w:type="dxa"/>
          <w:right w:w="108" w:type="dxa"/>
        </w:tblCellMar>
      </w:tblPr>
      <w:tblGrid>
        <w:gridCol w:w="12100"/>
      </w:tblGrid>
      <w:tr>
        <w:tblPrEx>
          <w:tblCellMar>
            <w:top w:w="0" w:type="dxa"/>
            <w:left w:w="108" w:type="dxa"/>
            <w:bottom w:w="0" w:type="dxa"/>
            <w:right w:w="108" w:type="dxa"/>
          </w:tblCellMar>
        </w:tblPrEx>
        <w:trPr>
          <w:trHeight w:val="2715" w:hRule="atLeast"/>
          <w:jc w:val="center"/>
        </w:trPr>
        <w:tc>
          <w:tcPr>
            <w:tcW w:w="12100" w:type="dxa"/>
            <w:vAlign w:val="center"/>
          </w:tcPr>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default" w:asciiTheme="majorEastAsia" w:hAnsiTheme="majorEastAsia" w:eastAsiaTheme="majorEastAsia" w:cstheme="majorEastAsia"/>
                <w:color w:val="FF0000"/>
                <w:w w:val="68"/>
                <w:sz w:val="110"/>
                <w:lang w:val="en-US" w:eastAsia="zh-CN"/>
              </w:rPr>
            </w:pPr>
            <w:r>
              <w:rPr>
                <w:rFonts w:hint="eastAsia" w:asciiTheme="majorEastAsia" w:hAnsiTheme="majorEastAsia" w:eastAsiaTheme="majorEastAsia" w:cstheme="majorEastAsia"/>
                <w:b/>
                <w:bCs/>
                <w:color w:val="FF0000"/>
                <w:w w:val="68"/>
                <w:sz w:val="116"/>
                <w:szCs w:val="116"/>
                <w:lang w:val="en-US" w:eastAsia="zh-CN"/>
              </w:rPr>
              <w:t>益阳市资阳区退役军人事务局</w:t>
            </w:r>
          </w:p>
        </w:tc>
      </w:tr>
    </w:tbl>
    <w:p>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447040</wp:posOffset>
                </wp:positionV>
                <wp:extent cx="54864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5.2pt;height:0pt;width:432pt;z-index:251659264;mso-width-relative:page;mso-height-relative:page;" filled="f" stroked="t" coordsize="21600,21600" o:gfxdata="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fUsWDVAAAABgEAAA8AAAAAAAAAAQAgAAAAIgAAAGRycy9kb3ducmV2Lnht&#10;bFBLAQIUABQAAAAIAIdO4kDXqPja/AEAAPMDAAAOAAAAAAAAAAEAIAAAACQBAABkcnMvZTJvRG9j&#10;LnhtbFBLBQYAAAAABgAGAFkBAACSBQAAAAA=&#10;">
                <v:fill on="f" focussize="0,0"/>
                <v:stroke weight="1.5pt" color="#FF0000" joinstyle="round"/>
                <v:imagedata o:title=""/>
                <o:lock v:ext="edit" aspectratio="f"/>
              </v:line>
            </w:pict>
          </mc:Fallback>
        </mc:AlternateContent>
      </w:r>
    </w:p>
    <w:p>
      <w:pPr>
        <w:spacing w:before="100" w:beforeAutospacing="1" w:after="100" w:afterAutospacing="1" w:line="579" w:lineRule="exact"/>
        <w:ind w:right="641"/>
        <w:jc w:val="center"/>
        <w:rPr>
          <w:rFonts w:hint="eastAsia" w:ascii="Times New Roman" w:hAnsi="Times New Roman" w:cs="Times New Roman" w:eastAsiaTheme="majorEastAsia"/>
          <w:b/>
          <w:bCs/>
          <w:sz w:val="44"/>
          <w:szCs w:val="44"/>
          <w:lang w:val="en-US" w:eastAsia="zh-CN"/>
        </w:rPr>
      </w:pPr>
    </w:p>
    <w:p>
      <w:pPr>
        <w:spacing w:before="100" w:beforeAutospacing="1" w:after="100" w:afterAutospacing="1" w:line="579" w:lineRule="exact"/>
        <w:ind w:right="641"/>
        <w:jc w:val="center"/>
        <w:rPr>
          <w:rFonts w:hint="eastAsia" w:ascii="Times New Roman" w:hAnsi="Times New Roman" w:cs="Times New Roman" w:eastAsiaTheme="majorEastAsia"/>
          <w:b/>
          <w:bCs/>
          <w:sz w:val="44"/>
          <w:szCs w:val="44"/>
          <w:lang w:val="en-US" w:eastAsia="zh-CN"/>
        </w:rPr>
      </w:pPr>
      <w:r>
        <w:rPr>
          <w:rFonts w:hint="eastAsia" w:ascii="Times New Roman" w:hAnsi="Times New Roman" w:cs="Times New Roman" w:eastAsiaTheme="majorEastAsia"/>
          <w:b/>
          <w:bCs/>
          <w:sz w:val="44"/>
          <w:szCs w:val="44"/>
          <w:lang w:val="en-US" w:eastAsia="zh-CN"/>
        </w:rPr>
        <w:t>益阳市资阳区</w:t>
      </w:r>
      <w:r>
        <w:rPr>
          <w:rFonts w:hint="eastAsia" w:ascii="Times New Roman" w:hAnsi="Times New Roman" w:cs="Times New Roman" w:eastAsiaTheme="majorEastAsia"/>
          <w:b/>
          <w:bCs/>
          <w:sz w:val="44"/>
          <w:szCs w:val="44"/>
          <w:lang w:eastAsia="zh-CN"/>
        </w:rPr>
        <w:t>退役军人事务局</w:t>
      </w:r>
    </w:p>
    <w:p>
      <w:pPr>
        <w:spacing w:before="100" w:beforeAutospacing="1" w:after="100" w:afterAutospacing="1" w:line="579" w:lineRule="exact"/>
        <w:ind w:right="641"/>
        <w:jc w:val="center"/>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rPr>
        <w:t xml:space="preserve">  20</w:t>
      </w:r>
      <w:r>
        <w:rPr>
          <w:rFonts w:hint="eastAsia" w:ascii="Times New Roman" w:hAnsi="Times New Roman" w:cs="Times New Roman" w:eastAsiaTheme="majorEastAsia"/>
          <w:b/>
          <w:bCs/>
          <w:sz w:val="44"/>
          <w:szCs w:val="44"/>
          <w:lang w:val="en-US" w:eastAsia="zh-CN"/>
        </w:rPr>
        <w:t>20</w:t>
      </w:r>
      <w:r>
        <w:rPr>
          <w:rFonts w:ascii="Times New Roman" w:hAnsi="Times New Roman" w:cs="Times New Roman" w:eastAsiaTheme="majorEastAsia"/>
          <w:b/>
          <w:bCs/>
          <w:sz w:val="44"/>
          <w:szCs w:val="44"/>
        </w:rPr>
        <w:t>年度部门整体支出绩效评价报告</w:t>
      </w:r>
    </w:p>
    <w:p>
      <w:pPr>
        <w:spacing w:before="100" w:beforeAutospacing="1" w:after="100" w:afterAutospacing="1" w:line="579" w:lineRule="exact"/>
        <w:ind w:right="641"/>
        <w:jc w:val="center"/>
        <w:rPr>
          <w:rFonts w:ascii="Times New Roman" w:hAnsi="Times New Roman" w:cs="Times New Roman" w:eastAsiaTheme="majorEastAsia"/>
          <w:b/>
          <w:bCs/>
          <w:sz w:val="44"/>
          <w:szCs w:val="44"/>
        </w:rPr>
      </w:pPr>
    </w:p>
    <w:p>
      <w:pPr>
        <w:pStyle w:val="6"/>
        <w:spacing w:line="579" w:lineRule="exact"/>
        <w:ind w:firstLine="640" w:firstLineChars="200"/>
        <w:jc w:val="both"/>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为进一步规范财政资金管理，牢固树立预算绩效理念，强化部门支出责任，提高财政资金使用效益，根据《益阳市资阳区财政局关于开展2020年度预算绩效自评工作的通知》（益资财〔2021〕22号）要求，我局组织开展了2020年度部门整体支出绩效自评工作，现将绩效评价情况及评价结果报告如下：</w:t>
      </w:r>
    </w:p>
    <w:p>
      <w:pPr>
        <w:pStyle w:val="4"/>
        <w:numPr>
          <w:ilvl w:val="0"/>
          <w:numId w:val="1"/>
        </w:numPr>
        <w:bidi w:val="0"/>
        <w:rPr>
          <w:rFonts w:hint="eastAsia"/>
          <w:lang w:val="en-US" w:eastAsia="zh-CN"/>
        </w:rPr>
      </w:pPr>
      <w:r>
        <w:rPr>
          <w:rFonts w:hint="eastAsia"/>
          <w:lang w:val="en-US" w:eastAsia="zh-CN"/>
        </w:rPr>
        <w:t>部门基本情况</w:t>
      </w:r>
    </w:p>
    <w:p>
      <w:pPr>
        <w:adjustRightInd w:val="0"/>
        <w:snapToGrid w:val="0"/>
        <w:spacing w:line="580" w:lineRule="exact"/>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资阳区退役军人事务局内设两个职能科室：办公室（财务室、人事政工室）、安置股（优抚股）和两个事业机构：服务中心、光荣院。</w:t>
      </w:r>
    </w:p>
    <w:p>
      <w:pPr>
        <w:adjustRightInd w:val="0"/>
        <w:snapToGrid w:val="0"/>
        <w:spacing w:line="580" w:lineRule="exact"/>
        <w:ind w:firstLine="640" w:firstLineChars="200"/>
        <w:rPr>
          <w:rFonts w:hint="eastAsia"/>
          <w:lang w:val="en-US" w:eastAsia="zh-CN"/>
        </w:rPr>
      </w:pPr>
      <w:r>
        <w:rPr>
          <w:rFonts w:hint="eastAsia" w:ascii="仿宋" w:hAnsi="仿宋" w:eastAsia="仿宋" w:cs="仿宋"/>
          <w:b w:val="0"/>
          <w:bCs w:val="0"/>
          <w:color w:val="000000"/>
          <w:kern w:val="0"/>
          <w:sz w:val="32"/>
          <w:szCs w:val="32"/>
          <w:lang w:val="en-US" w:eastAsia="zh-CN" w:bidi="ar-SA"/>
        </w:rPr>
        <w:t>主要职责包括：做好退役军人思想政治、就业安置、服务保障、教育管理、权益维护等工作和服务保障体系建设；协调各方力量更好为军人军属服务，让军人成为社会尊崇的职业；褒扬彰显退役军人为党、国家和人民牺牲奉献的精神风范和价值导向，更好地为增强部队战斗力和凝聚力做好组织保障。</w:t>
      </w:r>
    </w:p>
    <w:p>
      <w:pPr>
        <w:pStyle w:val="4"/>
        <w:numPr>
          <w:ilvl w:val="0"/>
          <w:numId w:val="1"/>
        </w:numPr>
        <w:bidi w:val="0"/>
        <w:rPr>
          <w:rFonts w:hint="eastAsia"/>
          <w:b/>
          <w:lang w:val="en-US" w:eastAsia="zh-CN"/>
        </w:rPr>
      </w:pPr>
      <w:r>
        <w:rPr>
          <w:rFonts w:hint="eastAsia"/>
          <w:b/>
          <w:lang w:val="en-US" w:eastAsia="zh-CN"/>
        </w:rPr>
        <w:t>一般公共预算支出情况</w:t>
      </w:r>
    </w:p>
    <w:p>
      <w:pPr>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2020年度财政拨款支出年初预算数为859.19万元，支出决算数为4876.12万元。主要用于以下方面：社会保障和就业支出（类）支出4729.85万元，占97%；卫生健康支出（类）支出140.13万元，占2.87%;住房保障支出（类）支出6.14万元，占0.12%。</w:t>
      </w:r>
    </w:p>
    <w:p>
      <w:pPr>
        <w:widowControl/>
        <w:numPr>
          <w:ilvl w:val="0"/>
          <w:numId w:val="2"/>
        </w:numPr>
        <w:spacing w:line="579" w:lineRule="exact"/>
        <w:ind w:left="0" w:leftChars="0" w:firstLine="643" w:firstLineChars="200"/>
        <w:rPr>
          <w:rFonts w:hint="eastAsia" w:asciiTheme="majorEastAsia" w:hAnsiTheme="majorEastAsia" w:eastAsiaTheme="majorEastAsia" w:cstheme="majorEastAsia"/>
          <w:b/>
          <w:bCs/>
          <w:color w:val="000000"/>
          <w:kern w:val="0"/>
          <w:sz w:val="32"/>
          <w:szCs w:val="32"/>
          <w:lang w:val="en-US" w:eastAsia="zh-CN" w:bidi="ar-SA"/>
        </w:rPr>
      </w:pPr>
      <w:r>
        <w:rPr>
          <w:rFonts w:hint="eastAsia" w:asciiTheme="majorEastAsia" w:hAnsiTheme="majorEastAsia" w:eastAsiaTheme="majorEastAsia" w:cstheme="majorEastAsia"/>
          <w:b/>
          <w:bCs/>
          <w:color w:val="000000"/>
          <w:kern w:val="0"/>
          <w:sz w:val="32"/>
          <w:szCs w:val="32"/>
          <w:lang w:val="en-US" w:eastAsia="zh-CN" w:bidi="ar-SA"/>
        </w:rPr>
        <w:t>基本支出情况</w:t>
      </w:r>
    </w:p>
    <w:p>
      <w:pPr>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2020年度财政拨款基本支出4876.12万元，其中：人员经费4733.62万元，占基本支出的97.07%,主要包括基本工资、津贴补贴、奖金、伙食补助费；公用经费142.5万元，占基本支出的2.93%，主要包括办公费、印刷费、咨询费、手续费。</w:t>
      </w:r>
    </w:p>
    <w:p>
      <w:pPr>
        <w:widowControl/>
        <w:numPr>
          <w:ilvl w:val="0"/>
          <w:numId w:val="2"/>
        </w:numPr>
        <w:spacing w:line="579" w:lineRule="exact"/>
        <w:ind w:left="0" w:leftChars="0" w:firstLine="643" w:firstLineChars="200"/>
        <w:rPr>
          <w:rFonts w:hint="eastAsia" w:asciiTheme="majorEastAsia" w:hAnsiTheme="majorEastAsia" w:eastAsiaTheme="majorEastAsia" w:cstheme="majorEastAsia"/>
          <w:b/>
          <w:bCs/>
          <w:color w:val="000000"/>
          <w:kern w:val="0"/>
          <w:sz w:val="32"/>
          <w:szCs w:val="32"/>
          <w:lang w:val="en-US" w:eastAsia="zh-CN" w:bidi="ar-SA"/>
        </w:rPr>
      </w:pPr>
      <w:r>
        <w:rPr>
          <w:rFonts w:hint="eastAsia" w:asciiTheme="majorEastAsia" w:hAnsiTheme="majorEastAsia" w:eastAsiaTheme="majorEastAsia" w:cstheme="majorEastAsia"/>
          <w:b/>
          <w:bCs/>
          <w:color w:val="000000"/>
          <w:kern w:val="0"/>
          <w:sz w:val="32"/>
          <w:szCs w:val="32"/>
          <w:lang w:val="en-US" w:eastAsia="zh-CN" w:bidi="ar-SA"/>
        </w:rPr>
        <w:t>“三公”经费财政拨款支出具体情况</w:t>
      </w:r>
    </w:p>
    <w:p>
      <w:pPr>
        <w:spacing w:line="580" w:lineRule="exact"/>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“三公”经费财政拨款支出预算为0万元，支出决算为0万元。</w:t>
      </w:r>
    </w:p>
    <w:p>
      <w:pPr>
        <w:pStyle w:val="2"/>
        <w:rPr>
          <w:rFonts w:hint="eastAsia" w:ascii="仿宋" w:hAnsi="仿宋" w:eastAsia="仿宋" w:cs="仿宋"/>
          <w:b w:val="0"/>
          <w:bCs w:val="0"/>
          <w:color w:val="000000"/>
          <w:kern w:val="0"/>
          <w:sz w:val="32"/>
          <w:szCs w:val="32"/>
          <w:lang w:val="en-US" w:eastAsia="zh-CN" w:bidi="ar-SA"/>
        </w:rPr>
      </w:pPr>
    </w:p>
    <w:p>
      <w:pPr>
        <w:pStyle w:val="2"/>
        <w:rPr>
          <w:rFonts w:hint="eastAsia" w:ascii="仿宋" w:hAnsi="仿宋" w:eastAsia="仿宋" w:cs="仿宋"/>
          <w:b w:val="0"/>
          <w:bCs w:val="0"/>
          <w:color w:val="000000"/>
          <w:kern w:val="0"/>
          <w:sz w:val="32"/>
          <w:szCs w:val="32"/>
          <w:lang w:val="en-US" w:eastAsia="zh-CN" w:bidi="ar-SA"/>
        </w:rPr>
      </w:pPr>
    </w:p>
    <w:p>
      <w:pPr>
        <w:pStyle w:val="9"/>
        <w:widowControl/>
        <w:numPr>
          <w:ilvl w:val="0"/>
          <w:numId w:val="1"/>
        </w:numPr>
        <w:spacing w:line="579" w:lineRule="exact"/>
        <w:ind w:firstLine="640"/>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政府性基金预算支出情况</w:t>
      </w:r>
    </w:p>
    <w:p>
      <w:pPr>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2020年度政府性基金预算财政拨款收入297.75万元；年初结转和结余0万元；支出0万元，其中基本支出297.75万元，项目支出0万元；年末结转和结余0万元。</w:t>
      </w:r>
    </w:p>
    <w:p>
      <w:pPr>
        <w:pStyle w:val="2"/>
        <w:rPr>
          <w:rFonts w:hint="eastAsia"/>
          <w:lang w:val="en-US" w:eastAsia="zh-CN"/>
        </w:rPr>
      </w:pPr>
    </w:p>
    <w:p>
      <w:pPr>
        <w:pStyle w:val="9"/>
        <w:widowControl/>
        <w:numPr>
          <w:ilvl w:val="0"/>
          <w:numId w:val="0"/>
        </w:numPr>
        <w:spacing w:line="579" w:lineRule="exact"/>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四、国有资本经营预算支出情况</w:t>
      </w:r>
    </w:p>
    <w:p>
      <w:pPr>
        <w:pStyle w:val="9"/>
        <w:widowControl/>
        <w:numPr>
          <w:ilvl w:val="255"/>
          <w:numId w:val="0"/>
        </w:numPr>
        <w:spacing w:line="579" w:lineRule="exact"/>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2020年区退役军人事务局无国有资本经营预算支出。</w:t>
      </w:r>
    </w:p>
    <w:p>
      <w:pPr>
        <w:pStyle w:val="9"/>
        <w:widowControl/>
        <w:numPr>
          <w:ilvl w:val="255"/>
          <w:numId w:val="0"/>
        </w:numPr>
        <w:spacing w:line="579" w:lineRule="exact"/>
        <w:ind w:firstLine="640" w:firstLineChars="200"/>
        <w:rPr>
          <w:rFonts w:hint="eastAsia" w:ascii="仿宋" w:hAnsi="仿宋" w:eastAsia="仿宋" w:cs="仿宋"/>
          <w:b w:val="0"/>
          <w:bCs w:val="0"/>
          <w:color w:val="000000"/>
          <w:kern w:val="0"/>
          <w:sz w:val="32"/>
          <w:szCs w:val="32"/>
          <w:lang w:val="en-US" w:eastAsia="zh-CN" w:bidi="ar-SA"/>
        </w:rPr>
      </w:pPr>
    </w:p>
    <w:p>
      <w:pPr>
        <w:widowControl/>
        <w:spacing w:line="579" w:lineRule="exact"/>
        <w:jc w:val="left"/>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五、社会保险基金预算支出情况</w:t>
      </w:r>
    </w:p>
    <w:p>
      <w:pPr>
        <w:pStyle w:val="9"/>
        <w:widowControl/>
        <w:numPr>
          <w:ilvl w:val="255"/>
          <w:numId w:val="0"/>
        </w:numPr>
        <w:spacing w:line="579" w:lineRule="exact"/>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2020年区退役军人事务局无社会保险基金预算支出。</w:t>
      </w:r>
    </w:p>
    <w:p>
      <w:pPr>
        <w:pStyle w:val="9"/>
        <w:widowControl/>
        <w:numPr>
          <w:ilvl w:val="255"/>
          <w:numId w:val="0"/>
        </w:numPr>
        <w:spacing w:line="579" w:lineRule="exact"/>
        <w:ind w:firstLine="640" w:firstLineChars="200"/>
        <w:rPr>
          <w:rFonts w:hint="eastAsia" w:ascii="仿宋" w:hAnsi="仿宋" w:eastAsia="仿宋" w:cs="仿宋"/>
          <w:b w:val="0"/>
          <w:bCs w:val="0"/>
          <w:color w:val="000000"/>
          <w:kern w:val="0"/>
          <w:sz w:val="32"/>
          <w:szCs w:val="32"/>
          <w:lang w:val="en-US" w:eastAsia="zh-CN" w:bidi="ar-SA"/>
        </w:rPr>
      </w:pPr>
    </w:p>
    <w:p>
      <w:pPr>
        <w:widowControl/>
        <w:spacing w:line="579" w:lineRule="exact"/>
        <w:jc w:val="left"/>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六、部门整体支出绩效情况</w:t>
      </w:r>
    </w:p>
    <w:p>
      <w:pPr>
        <w:widowControl/>
        <w:spacing w:line="579" w:lineRule="exact"/>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2020年，在区委区政府的正确领导下，区退役军人事务局以党的十九大和区委相关会议精神为指导，按照区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经自评，区退役军人事务局2020年度部门整体支出绩效评价得分95分，部门整体支出绩效为“优”。主要绩效如下：</w:t>
      </w:r>
    </w:p>
    <w:p>
      <w:pPr>
        <w:widowControl/>
        <w:numPr>
          <w:ilvl w:val="0"/>
          <w:numId w:val="0"/>
        </w:numPr>
        <w:spacing w:line="579" w:lineRule="exact"/>
        <w:ind w:leftChars="200"/>
        <w:rPr>
          <w:rFonts w:hint="eastAsia" w:asciiTheme="majorEastAsia" w:hAnsiTheme="majorEastAsia" w:eastAsiaTheme="majorEastAsia" w:cstheme="majorEastAsia"/>
          <w:b/>
          <w:bCs/>
          <w:color w:val="000000"/>
          <w:kern w:val="0"/>
          <w:sz w:val="32"/>
          <w:szCs w:val="32"/>
          <w:lang w:val="en-US" w:eastAsia="zh-CN" w:bidi="ar-SA"/>
        </w:rPr>
      </w:pPr>
      <w:r>
        <w:rPr>
          <w:rFonts w:hint="eastAsia" w:asciiTheme="majorEastAsia" w:hAnsiTheme="majorEastAsia" w:eastAsiaTheme="majorEastAsia" w:cstheme="majorEastAsia"/>
          <w:b/>
          <w:bCs/>
          <w:color w:val="000000"/>
          <w:kern w:val="0"/>
          <w:sz w:val="32"/>
          <w:szCs w:val="32"/>
          <w:lang w:val="en-US" w:eastAsia="zh-CN" w:bidi="ar-SA"/>
        </w:rPr>
        <w:t>（一）全面落实抚恤优待政策</w:t>
      </w:r>
    </w:p>
    <w:p>
      <w:pPr>
        <w:spacing w:line="560" w:lineRule="exact"/>
        <w:ind w:firstLine="480" w:firstLineChars="15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以落实各项优抚政策为基础，有重点、分层次解决重点优抚对象的实际困难。及时足额发放优抚对象的定期定量生活补助金，并根据国家提高优抚对象抚恤补助标准的通知要求，及时足额调整提高兑现到各类优抚对象手中。</w:t>
      </w:r>
    </w:p>
    <w:p>
      <w:pPr>
        <w:widowControl/>
        <w:numPr>
          <w:ilvl w:val="0"/>
          <w:numId w:val="0"/>
        </w:numPr>
        <w:spacing w:line="579" w:lineRule="exact"/>
        <w:ind w:leftChars="200"/>
        <w:rPr>
          <w:rFonts w:hint="eastAsia" w:asciiTheme="majorEastAsia" w:hAnsiTheme="majorEastAsia" w:eastAsiaTheme="majorEastAsia" w:cstheme="majorEastAsia"/>
          <w:b/>
          <w:bCs/>
          <w:color w:val="000000"/>
          <w:kern w:val="0"/>
          <w:sz w:val="32"/>
          <w:szCs w:val="32"/>
          <w:lang w:val="en-US" w:eastAsia="zh-CN" w:bidi="ar-SA"/>
        </w:rPr>
      </w:pPr>
      <w:r>
        <w:rPr>
          <w:rFonts w:hint="eastAsia" w:asciiTheme="majorEastAsia" w:hAnsiTheme="majorEastAsia" w:eastAsiaTheme="majorEastAsia" w:cstheme="majorEastAsia"/>
          <w:b/>
          <w:bCs/>
          <w:color w:val="000000"/>
          <w:kern w:val="0"/>
          <w:sz w:val="32"/>
          <w:szCs w:val="32"/>
          <w:lang w:val="en-US" w:eastAsia="zh-CN" w:bidi="ar-SA"/>
        </w:rPr>
        <w:t>（二）安置工作稳步推进</w:t>
      </w:r>
    </w:p>
    <w:p>
      <w:pPr>
        <w:widowControl/>
        <w:spacing w:line="579" w:lineRule="exact"/>
        <w:ind w:firstLine="640"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2020年我区接收退役士兵63人，符合国家指令性安置条件的退役士官38人。我局坚持把区直各机关事业单位作为军队转业干部和退役士兵的安置主渠道，拓展安置渠道，科学制定安置计划，安置计划明确到编制性质和岗位。大力推行“阳光操作”，严格规范安置条件，适时公开安置计划和进度，把重要关键环节始终置于阳光下。切实加强退役军人培训工作，对全区66名退役士兵开展了“订单式”“定向式”“定岗式”培训，推动构建职业技能培训、学历教育、个性化培训等多层级多样化教育培训工作机制；做好就业服务，积极扶持创业。协调相关部门开辟网上退役军人招聘专栏两次，推进退役军人充实城乡基层力量工作，实现促进就业创业与现固基层政权有机衔接。持续开展“双待双促”活动，通过这些自主就业退役军人、自主就业军转干部的自身努力以点带面促进我区退役军人积极“带头建设家乡、促进经济发展、带头维护稳定、促进社会和谐”的新气象。</w:t>
      </w:r>
    </w:p>
    <w:p>
      <w:pPr>
        <w:pStyle w:val="2"/>
        <w:rPr>
          <w:rFonts w:hint="eastAsia"/>
          <w:lang w:val="en-US" w:eastAsia="zh-CN"/>
        </w:rPr>
      </w:pPr>
    </w:p>
    <w:p>
      <w:pPr>
        <w:widowControl/>
        <w:spacing w:line="600" w:lineRule="exact"/>
        <w:ind w:firstLine="1600" w:firstLineChars="5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 xml:space="preserve">                     资阳区退役军人事务局</w:t>
      </w:r>
    </w:p>
    <w:p>
      <w:pPr>
        <w:widowControl/>
        <w:spacing w:line="600" w:lineRule="exact"/>
        <w:ind w:firstLine="5120" w:firstLineChars="1600"/>
        <w:jc w:val="left"/>
        <w:rPr>
          <w:rFonts w:hint="default"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2021年9</w:t>
      </w:r>
      <w:bookmarkStart w:id="0" w:name="_GoBack"/>
      <w:bookmarkEnd w:id="0"/>
      <w:r>
        <w:rPr>
          <w:rFonts w:hint="eastAsia" w:ascii="仿宋" w:hAnsi="仿宋" w:eastAsia="仿宋" w:cs="仿宋"/>
          <w:b w:val="0"/>
          <w:bCs w:val="0"/>
          <w:color w:val="000000"/>
          <w:kern w:val="0"/>
          <w:sz w:val="32"/>
          <w:szCs w:val="32"/>
          <w:lang w:val="en-US" w:eastAsia="zh-CN" w:bidi="ar-SA"/>
        </w:rPr>
        <w:t>月18日</w:t>
      </w:r>
    </w:p>
    <w:p>
      <w:pPr>
        <w:rPr>
          <w:rFonts w:hint="eastAsia" w:ascii="仿宋_GB2312" w:eastAsia="仿宋_GB2312" w:cs="仿宋_GB2312"/>
          <w:sz w:val="31"/>
          <w:szCs w:val="3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39433"/>
    <w:multiLevelType w:val="singleLevel"/>
    <w:tmpl w:val="82639433"/>
    <w:lvl w:ilvl="0" w:tentative="0">
      <w:start w:val="1"/>
      <w:numFmt w:val="chineseCounting"/>
      <w:suff w:val="nothing"/>
      <w:lvlText w:val="（%1）"/>
      <w:lvlJc w:val="left"/>
      <w:rPr>
        <w:rFonts w:hint="eastAsia"/>
      </w:rPr>
    </w:lvl>
  </w:abstractNum>
  <w:abstractNum w:abstractNumId="1">
    <w:nsid w:val="CE3EE537"/>
    <w:multiLevelType w:val="singleLevel"/>
    <w:tmpl w:val="CE3EE53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40B4"/>
    <w:rsid w:val="090D1EBB"/>
    <w:rsid w:val="10CF2BCA"/>
    <w:rsid w:val="2AFF69BD"/>
    <w:rsid w:val="2C75352B"/>
    <w:rsid w:val="31AE115C"/>
    <w:rsid w:val="55A840B4"/>
    <w:rsid w:val="74A9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方正小标宋简体" w:eastAsia="方正大标宋简体"/>
      <w:sz w:val="44"/>
    </w:rPr>
  </w:style>
  <w:style w:type="paragraph" w:styleId="6">
    <w:name w:val="annotation text"/>
    <w:basedOn w:val="1"/>
    <w:semiHidden/>
    <w:qFormat/>
    <w:uiPriority w:val="0"/>
    <w:pPr>
      <w:jc w:val="left"/>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2021-11-18T01:53:00Z</dcterms:created>
  <dc:creator>Administrator</dc:creator>
  <cp:lastModifiedBy>海棠</cp:lastModifiedBy>
  <cp:lastPrinted>2021-11-22T06:48:00Z</cp:lastPrinted>
  <dcterms:modified xsi:type="dcterms:W3CDTF">2022-07-17T07:20:00Z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00C59EFA6BA5492DA2DF499EC0251CCE</vt:lpwstr>
  </property>
</Properties>
</file>