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资阳区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扶贫办2020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年度预算绩效评价自评工作报告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一、部门概况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（一）部门职能职责概述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益阳市资阳</w:t>
      </w:r>
      <w:r>
        <w:rPr>
          <w:rFonts w:hint="eastAsia" w:ascii="仿宋_GB2312" w:hAnsi="仿宋_GB2312" w:eastAsia="仿宋_GB2312" w:cs="仿宋_GB2312"/>
          <w:sz w:val="32"/>
          <w:szCs w:val="32"/>
        </w:rPr>
        <w:t>区扶贫开发办公室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（以下简称“区扶贫办”）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贯彻落实党中央关于脱贫攻坚的方针政策和决策部署，全面落实省委、市委、区委关于脱贫攻坚的部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署要求，在履行职责过程中坚持和加强党对扶贫工作的集中统一领导。主要职责是：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负责组织、协调、指导全区扶贫开发工作，组织实施精准扶贫、精准脱贫。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负责拟定全区扶贫开发战略、中长期规划和全区扶贫开发的政策、措施和规范性文件；负责制定各类专项规划和年度计划，并组织实施和监督检查；负责协调解决扶贫开发工作中的重大问题。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负责组织开展全区贫困退出、动态调整和贫困监测工作，指导全区扶贫系统统计和信息化建设。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规定协调管理中央、省、市及区本级财政扶贫专项资金（扶贫发展）；会同有关部门研究拟订全区扶贫专项资金（扶贫发展）分配方案，指导监督和检查扶贫资金的使用；负责组织财政扶贫资金项目的规划、设计、论证、筛选、审批和组织实施；参与信贷扶贫项目的立项、审核、推荐和申报工作。负责区级脱贫攻坚项目库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负责指导、协调全区社会扶贫、行业扶贫工作；协调管理有关扶贫捐赠物资。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负责制定全区扶贫开发培训计划，组织指导扶贫开发有关培训工作；负责扶贫开发有关的信息和宣传工作。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协同有关部门制定驻村帮扶计划，指导全区驻村帮扶工作、扶贫协作和对口支援工作。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负责协调扶贫开发系统风险防控、涉贫信访和舆情处置工作。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负责组织开展全区脱贫攻坚调研、督查和考核工作。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承办区扶贫开发领导小组的日常工作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仿宋_GB2312"/>
          <w:sz w:val="32"/>
          <w:szCs w:val="32"/>
        </w:rPr>
        <w:t>完成区委、区政府交办的其他任务。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（二）机构设置、人员情况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区扶贫办有行政编制5名，全额事业编制7名，在编在岗人员10名。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内设2个股室为综合人事股和开发指导股，下设非独立核算二级机构1个为资阳区扶贫开发培训中心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（三）2020年度重点工作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2020年，区扶贫办顶住巨大压力，克服新冠肺炎疫情带来的不利影响，顺利完成了各项扶贫工作，顺利通过省市验收，打赢了脱贫攻坚战，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获评2020年度“先进区县”。全区</w:t>
      </w:r>
      <w:r>
        <w:rPr>
          <w:rFonts w:hint="eastAsia" w:ascii="仿宋_GB2312" w:eastAsia="仿宋_GB2312"/>
          <w:sz w:val="32"/>
          <w:szCs w:val="32"/>
          <w:lang w:eastAsia="zh-CN"/>
        </w:rPr>
        <w:t>16个省定贫困村全部出列，</w:t>
      </w:r>
      <w:r>
        <w:rPr>
          <w:rFonts w:hint="eastAsia" w:ascii="仿宋_GB2312" w:hAnsi="仿宋_GB2312" w:eastAsia="仿宋_GB2312" w:cs="仿宋_GB2312"/>
          <w:sz w:val="32"/>
          <w:szCs w:val="32"/>
        </w:rPr>
        <w:t>7686户21632人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建</w:t>
      </w:r>
      <w:r>
        <w:rPr>
          <w:rFonts w:hint="eastAsia" w:ascii="仿宋_GB2312" w:eastAsia="仿宋_GB2312"/>
          <w:sz w:val="32"/>
          <w:szCs w:val="32"/>
          <w:lang w:eastAsia="zh-CN"/>
        </w:rPr>
        <w:t>档立卡贫困人口成功脱贫，</w:t>
      </w:r>
      <w:r>
        <w:rPr>
          <w:rFonts w:hint="eastAsia" w:ascii="仿宋_GB2312" w:eastAsia="仿宋_GB2312"/>
          <w:sz w:val="32"/>
          <w:szCs w:val="32"/>
          <w:highlight w:val="none"/>
        </w:rPr>
        <w:t>贫困发生率从7.9%降到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2020年底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实现6年连续增长，比2014年增长了64%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完成了2020年春秋季雨露计划，完成雨露计划资金补助742人次，完成补发2017年秋以后入学的符合条件的学生138人次；完成了扶贫小额信贷的放贷任务与贴息工作，贴息资金受益人次2398人次；实现全区扶贫特惠保、稳定脱贫保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2020年创业致富带头人培训43人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财政专项扶贫资金的安排与下拨工作，及时完成了区级脱贫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项目库建设，规范资金管理；完成了中央、省、市、区各级反馈的问题整改工作。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积极参与中心工作，积极参与抗击新冠肺炎疫情，主动承担社会责任，认真完成上级部门、区委、区政府安排的其他工作任务。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（四）整体收入支出规模、使用方向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2020年度区扶贫办收入合计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3302.58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2020年度区扶贫办支出合计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3302.58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1. 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年资阳区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扶贫办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一般公共预算财政拨款基本支出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131.07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人员经费支出117.2万元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公用经费支出13.87万元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2. 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年资阳区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扶贫办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一般公共预算财政拨款项目支出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2925.71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3. 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年度“三公”经费支出决算为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为3.12万元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。其中：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公务用车购置及运行费支出决算为0万元；公务接待费支出决算为3.12万元。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（五）财务管理状况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我办党组高度重视财务工作，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区扶贫办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严格按照各项财务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及办法完善财务管理工作，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规范了单位报账程序，要求所有报账票据必须有经手人及证明人签字，要求所有报销的票据必须合法合规，要求所有报账票据必须有财务分管领导签字并盖“会审联签”章。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及时对报账情况进行登记，并汇报办主要领导审阅。确保单位资金安全，财务监管到位。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（六）预算管理情况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年，为进一步加强预算资金的管理，严格预算执行，提高财政资金的使用效益，我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重点开展了以下几方面的工作：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完善制度。一是我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年积极推动单位内部控制建设。二是对机关公务接待、因公出差、会议、培训等费用报账进行了规范。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严控支出。我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严格执行财务预算和财务管理制度，“三公”经费控制有序。年初按预算，制定年度支出计划，执行中严格支出程序，做到先有预算、后有开支，不得随意调整。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规范管理。对于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费支出，明确审批权限，对每项支出都制定了专门的审批程序，严格按照审批制度执行，重大开支经局党组集体研究；积极推行公务卡结算，外出调研培训等均使用公务卡开支费用；会议费、差旅费、培训费和“三公经费”坚决按相关文件规定执行，完善审批、预算手续，做到附件依据齐全，杜绝一切超标准、超预算的开支；加强监督检查，由办公室牵头，各股室配合，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财务自查自审，发现问题及时制定措施组织整改。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积极推进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机关经费公开，自觉接受监督。我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按照要求在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资阳区人民政府网站上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及时公开了部门预、决算情况，做到了公开透明。通过这一系列措施，确保了我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预算管理的规范性。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 二、绩效评价工作情况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（一）绩效评价目的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 此次绩效评价的目的是：严格落实《预算法》及省、市绩效管理工作的有关规定，进一步规范财政资金的管理，强化财政支出绩效理念，提升部门责任意识，提高资金使用效益，促进扶贫事业的发展。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（二）绩效评价的主要过程。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 根据绩效评价的要求，我单位对照各项内容逐条逐项自评。在自评过程发现问题，查找原因，及时纠正偏差，为下一步工作夯实基础。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三、总体评价情况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扶贫办严格按照《预算法》及《湖南省财政专项扶贫资金管理办法》等文件精神，对本单位的日常经费开支和财政专项扶贫资金进行管理和使用，资金使用严格按照程序进行签字审批和拨付，不存在虚列支出，违规使用、挤占挪用、侵占资金的情况。资阳区扶贫办较好地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2020年预算资金绩效目标任务，2020年部门预算绩效评价自评结果为优秀。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02D1"/>
    <w:rsid w:val="09DD38DC"/>
    <w:rsid w:val="0B7A250D"/>
    <w:rsid w:val="0D1E205A"/>
    <w:rsid w:val="10C704AB"/>
    <w:rsid w:val="18D86AC4"/>
    <w:rsid w:val="1BA36947"/>
    <w:rsid w:val="20384595"/>
    <w:rsid w:val="215959B0"/>
    <w:rsid w:val="28D0473D"/>
    <w:rsid w:val="2B757007"/>
    <w:rsid w:val="2D630BFB"/>
    <w:rsid w:val="2F167903"/>
    <w:rsid w:val="315F792B"/>
    <w:rsid w:val="31D500EA"/>
    <w:rsid w:val="34A62CE1"/>
    <w:rsid w:val="36F56D67"/>
    <w:rsid w:val="397D486C"/>
    <w:rsid w:val="3A370ABB"/>
    <w:rsid w:val="3A4319A5"/>
    <w:rsid w:val="3A957C10"/>
    <w:rsid w:val="3BF208A0"/>
    <w:rsid w:val="3DD97886"/>
    <w:rsid w:val="42E3216A"/>
    <w:rsid w:val="42EF6D9B"/>
    <w:rsid w:val="45B95404"/>
    <w:rsid w:val="46BC33FE"/>
    <w:rsid w:val="485A21C7"/>
    <w:rsid w:val="49AD702E"/>
    <w:rsid w:val="4CB22BAD"/>
    <w:rsid w:val="524C3C71"/>
    <w:rsid w:val="54FA3430"/>
    <w:rsid w:val="5A5E600B"/>
    <w:rsid w:val="6EE2598A"/>
    <w:rsid w:val="78BD078C"/>
    <w:rsid w:val="7AAE6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杨万大</cp:lastModifiedBy>
  <cp:lastPrinted>2020-12-07T02:12:00Z</cp:lastPrinted>
  <dcterms:modified xsi:type="dcterms:W3CDTF">2021-12-31T07:13:23Z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03E9C2EA771C4E4E8A8454AFF48CA7F9</vt:lpwstr>
  </property>
</Properties>
</file>