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517" w:rsidRDefault="00466517" w:rsidP="00466517">
      <w:pPr>
        <w:pStyle w:val="a3"/>
        <w:spacing w:before="0" w:beforeAutospacing="0" w:after="0" w:afterAutospacing="0" w:line="480" w:lineRule="auto"/>
        <w:jc w:val="center"/>
        <w:rPr>
          <w:b/>
          <w:bCs/>
          <w:sz w:val="36"/>
          <w:szCs w:val="36"/>
        </w:rPr>
      </w:pPr>
      <w:r>
        <w:rPr>
          <w:rFonts w:hint="eastAsia"/>
          <w:b/>
          <w:bCs/>
          <w:sz w:val="36"/>
          <w:szCs w:val="36"/>
        </w:rPr>
        <w:t>资阳区发展和改革局2020年整体绩效自评报告</w:t>
      </w:r>
    </w:p>
    <w:p w:rsidR="00466517" w:rsidRDefault="00466517" w:rsidP="00466517">
      <w:pPr>
        <w:pStyle w:val="a3"/>
        <w:numPr>
          <w:ilvl w:val="0"/>
          <w:numId w:val="1"/>
        </w:numPr>
        <w:spacing w:before="0" w:beforeAutospacing="0" w:after="0" w:afterAutospacing="0" w:line="480" w:lineRule="auto"/>
        <w:rPr>
          <w:rFonts w:ascii="仿宋_GB2312" w:eastAsia="仿宋_GB2312" w:hAnsi="΢���ź�"/>
          <w:b/>
          <w:bCs/>
          <w:sz w:val="32"/>
          <w:szCs w:val="32"/>
        </w:rPr>
      </w:pPr>
      <w:bookmarkStart w:id="0" w:name="OLE_LINK1"/>
      <w:r>
        <w:rPr>
          <w:rFonts w:ascii="仿宋_GB2312" w:eastAsia="仿宋_GB2312" w:hAnsi="΢���ź�" w:hint="eastAsia"/>
          <w:b/>
          <w:bCs/>
          <w:sz w:val="32"/>
          <w:szCs w:val="32"/>
        </w:rPr>
        <w:t>部门概况</w:t>
      </w:r>
    </w:p>
    <w:p w:rsidR="00466517" w:rsidRDefault="00466517" w:rsidP="00466517">
      <w:pPr>
        <w:pStyle w:val="a3"/>
        <w:numPr>
          <w:ilvl w:val="0"/>
          <w:numId w:val="2"/>
        </w:numPr>
        <w:spacing w:before="0" w:beforeAutospacing="0" w:after="0" w:afterAutospacing="0" w:line="480" w:lineRule="auto"/>
        <w:rPr>
          <w:rFonts w:ascii="仿宋" w:eastAsia="仿宋" w:hAnsi="仿宋" w:cs="仿宋"/>
          <w:b/>
          <w:bCs/>
          <w:sz w:val="30"/>
          <w:szCs w:val="30"/>
        </w:rPr>
      </w:pPr>
      <w:r>
        <w:rPr>
          <w:rFonts w:ascii="仿宋" w:eastAsia="仿宋" w:hAnsi="仿宋" w:cs="仿宋" w:hint="eastAsia"/>
          <w:b/>
          <w:bCs/>
          <w:sz w:val="30"/>
          <w:szCs w:val="30"/>
        </w:rPr>
        <w:t>部门职能职责概述</w:t>
      </w:r>
    </w:p>
    <w:p w:rsidR="00466517" w:rsidRDefault="00466517" w:rsidP="00466517">
      <w:pPr>
        <w:ind w:firstLineChars="200" w:firstLine="560"/>
        <w:jc w:val="left"/>
        <w:rPr>
          <w:rFonts w:ascii="仿宋" w:eastAsia="仿宋" w:hAnsi="仿宋" w:cs="仿宋"/>
          <w:sz w:val="28"/>
          <w:szCs w:val="32"/>
        </w:rPr>
      </w:pPr>
      <w:r>
        <w:rPr>
          <w:rFonts w:ascii="仿宋" w:eastAsia="仿宋" w:hAnsi="仿宋" w:cs="仿宋" w:hint="eastAsia"/>
          <w:sz w:val="28"/>
          <w:szCs w:val="32"/>
        </w:rPr>
        <w:t>1、拟订并组织实施全区国民经济和社会发展战略、中长期规划和年度计划，统筹协调相关总体规划、区域规划与专项规划；提出全区国民经济发展、价格总水平调控和优化重大经济结构的目标、政策，受区人民政府委托向区人民代表大会提交国民经济和社会发展计划的报告。</w:t>
      </w:r>
    </w:p>
    <w:p w:rsidR="00466517" w:rsidRDefault="00466517" w:rsidP="00466517">
      <w:pPr>
        <w:jc w:val="left"/>
        <w:rPr>
          <w:rFonts w:ascii="仿宋" w:eastAsia="仿宋" w:hAnsi="仿宋" w:cs="仿宋"/>
          <w:sz w:val="28"/>
          <w:szCs w:val="32"/>
        </w:rPr>
      </w:pPr>
      <w:r>
        <w:rPr>
          <w:rFonts w:ascii="仿宋" w:eastAsia="仿宋" w:hAnsi="仿宋" w:cs="仿宋" w:hint="eastAsia"/>
          <w:sz w:val="28"/>
          <w:szCs w:val="32"/>
        </w:rPr>
        <w:t>  2、研究全区宏观经济运行、总量平衡、经济安全和总体产业安全等重要问题并提出宏观调控政策建议，协调解决经济运行中的重大问题，调节国民经济运行。</w:t>
      </w:r>
    </w:p>
    <w:p w:rsidR="00466517" w:rsidRDefault="00466517" w:rsidP="00466517">
      <w:pPr>
        <w:jc w:val="left"/>
        <w:rPr>
          <w:rFonts w:ascii="仿宋" w:eastAsia="仿宋" w:hAnsi="仿宋" w:cs="仿宋"/>
          <w:sz w:val="28"/>
          <w:szCs w:val="32"/>
        </w:rPr>
      </w:pPr>
      <w:r>
        <w:rPr>
          <w:rFonts w:ascii="仿宋" w:eastAsia="仿宋" w:hAnsi="仿宋" w:cs="仿宋" w:hint="eastAsia"/>
          <w:sz w:val="28"/>
          <w:szCs w:val="32"/>
        </w:rPr>
        <w:t>  3、汇总社会资金总体运行情况，参与制定财政、金融、土地政策并综合分析政策执行效果；完善宏观调控协调机制。</w:t>
      </w:r>
    </w:p>
    <w:p w:rsidR="00466517" w:rsidRDefault="00466517" w:rsidP="00466517">
      <w:pPr>
        <w:jc w:val="left"/>
        <w:rPr>
          <w:rFonts w:ascii="仿宋" w:eastAsia="仿宋" w:hAnsi="仿宋" w:cs="仿宋"/>
          <w:sz w:val="28"/>
          <w:szCs w:val="32"/>
        </w:rPr>
      </w:pPr>
      <w:r>
        <w:rPr>
          <w:rFonts w:ascii="仿宋" w:eastAsia="仿宋" w:hAnsi="仿宋" w:cs="仿宋" w:hint="eastAsia"/>
          <w:sz w:val="28"/>
          <w:szCs w:val="32"/>
        </w:rPr>
        <w:t>  4、指导推进和综合协调全区经济体制改革，研究全区经济体制改革重大问题，协调有关专项改革方案。</w:t>
      </w:r>
    </w:p>
    <w:p w:rsidR="00466517" w:rsidRDefault="00466517" w:rsidP="00466517">
      <w:pPr>
        <w:jc w:val="left"/>
        <w:rPr>
          <w:rFonts w:ascii="仿宋" w:eastAsia="仿宋" w:hAnsi="仿宋" w:cs="仿宋"/>
          <w:sz w:val="28"/>
          <w:szCs w:val="32"/>
        </w:rPr>
      </w:pPr>
      <w:r>
        <w:rPr>
          <w:rFonts w:ascii="仿宋" w:eastAsia="仿宋" w:hAnsi="仿宋" w:cs="仿宋" w:hint="eastAsia"/>
          <w:sz w:val="28"/>
          <w:szCs w:val="32"/>
        </w:rPr>
        <w:t>  5、拟订全区全社会固定资产投资总规模和投资结构的调控目标、政策及措施；规划全区重大建设项目和生产力布局，按规定权限审批、核准、审核、备案全区相关建设、投资项目；引导民间投资方向；牵头组织编制重特大自然灾害的灾后恢复重建规划；研究提出区重点建设项目计划；负责政府投资项目代建制实施的指导、协调和监督管理；指导工程咨询业发展。</w:t>
      </w:r>
    </w:p>
    <w:p w:rsidR="00466517" w:rsidRDefault="00466517" w:rsidP="00466517">
      <w:pPr>
        <w:jc w:val="left"/>
        <w:rPr>
          <w:rFonts w:ascii="仿宋" w:eastAsia="仿宋" w:hAnsi="仿宋" w:cs="仿宋"/>
          <w:sz w:val="28"/>
          <w:szCs w:val="32"/>
        </w:rPr>
      </w:pPr>
      <w:r>
        <w:rPr>
          <w:rFonts w:ascii="仿宋" w:eastAsia="仿宋" w:hAnsi="仿宋" w:cs="仿宋" w:hint="eastAsia"/>
          <w:sz w:val="28"/>
          <w:szCs w:val="32"/>
        </w:rPr>
        <w:t>  6、组织拟订综合性产业政策，负责协调第一、二、三产业以及</w:t>
      </w:r>
      <w:r>
        <w:rPr>
          <w:rFonts w:ascii="仿宋" w:eastAsia="仿宋" w:hAnsi="仿宋" w:cs="仿宋" w:hint="eastAsia"/>
          <w:sz w:val="28"/>
          <w:szCs w:val="32"/>
        </w:rPr>
        <w:lastRenderedPageBreak/>
        <w:t>交通运输体系发展的重大问题并衔接平衡相关发展规划和重大政策；协调农业和农村经济社会发展的重大问题；研究提出新型工业化和产业集群发展的政策措施。</w:t>
      </w:r>
    </w:p>
    <w:p w:rsidR="00466517" w:rsidRDefault="00466517" w:rsidP="00466517">
      <w:pPr>
        <w:jc w:val="left"/>
        <w:rPr>
          <w:rFonts w:ascii="仿宋" w:eastAsia="仿宋" w:hAnsi="仿宋" w:cs="仿宋"/>
          <w:sz w:val="28"/>
          <w:szCs w:val="32"/>
        </w:rPr>
      </w:pPr>
      <w:r>
        <w:rPr>
          <w:rFonts w:ascii="仿宋" w:eastAsia="仿宋" w:hAnsi="仿宋" w:cs="仿宋" w:hint="eastAsia"/>
          <w:sz w:val="28"/>
          <w:szCs w:val="32"/>
        </w:rPr>
        <w:t>  7、贯彻落实国家中部崛起、长江经济带、洞庭湖生态经济区开发建设的政策措施，组织编制区域规划；拟订并组织实施全区以工代赈规划和计划；参与研究拟订全区城镇化发展战略和重大政策措施；拟订开发园区发展规划和政策。</w:t>
      </w:r>
    </w:p>
    <w:p w:rsidR="00466517" w:rsidRDefault="00466517" w:rsidP="00466517">
      <w:pPr>
        <w:jc w:val="left"/>
        <w:rPr>
          <w:rFonts w:ascii="仿宋" w:eastAsia="仿宋" w:hAnsi="仿宋" w:cs="仿宋"/>
          <w:sz w:val="28"/>
          <w:szCs w:val="32"/>
        </w:rPr>
      </w:pPr>
      <w:r>
        <w:rPr>
          <w:rFonts w:ascii="仿宋" w:eastAsia="仿宋" w:hAnsi="仿宋" w:cs="仿宋" w:hint="eastAsia"/>
          <w:sz w:val="28"/>
          <w:szCs w:val="32"/>
        </w:rPr>
        <w:t>  8、承担重要商品总量平衡和宏观调控，编制重要农产品、工业品和原材料进出口总量平衡计划并监督执行，根据经济运行情况对计划进行调整；牵头负责全区物流发展工作。</w:t>
      </w:r>
    </w:p>
    <w:p w:rsidR="00466517" w:rsidRDefault="00466517" w:rsidP="00466517">
      <w:pPr>
        <w:jc w:val="left"/>
        <w:rPr>
          <w:rFonts w:ascii="仿宋" w:eastAsia="仿宋" w:hAnsi="仿宋" w:cs="仿宋"/>
          <w:sz w:val="28"/>
          <w:szCs w:val="32"/>
        </w:rPr>
      </w:pPr>
      <w:r>
        <w:rPr>
          <w:rFonts w:ascii="仿宋" w:eastAsia="仿宋" w:hAnsi="仿宋" w:cs="仿宋" w:hint="eastAsia"/>
          <w:sz w:val="28"/>
          <w:szCs w:val="32"/>
        </w:rPr>
        <w:t>  9、宏观调控全区粮食流通工作，指导协调政策性粮食购销和粮食产销合作；负责全区粮食和物资储备工作；负责组织粮食流通、加工行业安全生产；拟订并组织实施粮食流通设施建设规划；负责粮食流通、物资储备监督检查和行政执法。12325全国粮食流通监管热线实行统一受理、分级负责、便民高效、公开公正的处置原则。</w:t>
      </w:r>
    </w:p>
    <w:p w:rsidR="00466517" w:rsidRDefault="00466517" w:rsidP="00466517">
      <w:pPr>
        <w:jc w:val="left"/>
        <w:rPr>
          <w:rFonts w:ascii="仿宋" w:eastAsia="仿宋" w:hAnsi="仿宋" w:cs="仿宋"/>
          <w:sz w:val="28"/>
          <w:szCs w:val="32"/>
        </w:rPr>
      </w:pPr>
      <w:r>
        <w:rPr>
          <w:rFonts w:ascii="仿宋" w:eastAsia="仿宋" w:hAnsi="仿宋" w:cs="仿宋" w:hint="eastAsia"/>
          <w:sz w:val="28"/>
          <w:szCs w:val="32"/>
        </w:rPr>
        <w:t>  10、组织拟订社会发展战略、总体规划和年度计划；拟订人口发展战略、规划及人口政策；参与拟订科技、教育、文化体育、卫生、民政等发展政策。统筹推进基本公共服务体系建设和收入分配制度改革；参与推进深化医药卫生体制改革。</w:t>
      </w:r>
    </w:p>
    <w:p w:rsidR="00466517" w:rsidRDefault="00466517" w:rsidP="00466517">
      <w:pPr>
        <w:jc w:val="left"/>
        <w:rPr>
          <w:rFonts w:ascii="仿宋" w:eastAsia="仿宋" w:hAnsi="仿宋" w:cs="仿宋"/>
          <w:sz w:val="28"/>
          <w:szCs w:val="32"/>
        </w:rPr>
      </w:pPr>
      <w:r>
        <w:rPr>
          <w:rFonts w:ascii="仿宋" w:eastAsia="仿宋" w:hAnsi="仿宋" w:cs="仿宋" w:hint="eastAsia"/>
          <w:sz w:val="28"/>
          <w:szCs w:val="32"/>
        </w:rPr>
        <w:t>  11、牵头拟订能源消费总量控制工作方案并组织实施；组织拟订循环经济发展、能源资源节约和综合利用规划、政策并协调实施。参与编制环境保护规划；协调节能环保产业和清洁生产促进工作；</w:t>
      </w:r>
      <w:r>
        <w:rPr>
          <w:rFonts w:ascii="仿宋" w:eastAsia="仿宋" w:hAnsi="仿宋" w:cs="仿宋" w:hint="eastAsia"/>
          <w:sz w:val="28"/>
          <w:szCs w:val="32"/>
        </w:rPr>
        <w:lastRenderedPageBreak/>
        <w:t>组织实施固定资产投资项目节能评估和审查。</w:t>
      </w:r>
    </w:p>
    <w:p w:rsidR="00466517" w:rsidRDefault="00466517" w:rsidP="00466517">
      <w:pPr>
        <w:jc w:val="left"/>
        <w:rPr>
          <w:rFonts w:ascii="仿宋" w:eastAsia="仿宋" w:hAnsi="仿宋" w:cs="仿宋"/>
          <w:sz w:val="28"/>
          <w:szCs w:val="32"/>
        </w:rPr>
      </w:pPr>
      <w:r>
        <w:rPr>
          <w:rFonts w:ascii="仿宋" w:eastAsia="仿宋" w:hAnsi="仿宋" w:cs="仿宋" w:hint="eastAsia"/>
          <w:sz w:val="28"/>
          <w:szCs w:val="32"/>
        </w:rPr>
        <w:t>  12、研究提出全区能源发展战略、规划、产业政策并组织实施；组织推进能源重大设备研发，组织推广应用能源行业新产品、新技术、新设备；规划能源重大建设项目布局，按权限核准、审核、申报能源重大建设项目。</w:t>
      </w:r>
    </w:p>
    <w:p w:rsidR="00466517" w:rsidRDefault="00466517" w:rsidP="00466517">
      <w:pPr>
        <w:jc w:val="left"/>
        <w:rPr>
          <w:rFonts w:ascii="仿宋" w:eastAsia="仿宋" w:hAnsi="仿宋" w:cs="仿宋"/>
          <w:sz w:val="28"/>
          <w:szCs w:val="32"/>
        </w:rPr>
      </w:pPr>
      <w:r>
        <w:rPr>
          <w:rFonts w:ascii="仿宋" w:eastAsia="仿宋" w:hAnsi="仿宋" w:cs="仿宋" w:hint="eastAsia"/>
          <w:sz w:val="28"/>
          <w:szCs w:val="32"/>
        </w:rPr>
        <w:t>  13、指导、协调、监督、管理全区招投标活动；依照投资管理权限核准建设项目的招标方式、招标组织形式、招标范围，对书面评标报告进行备案管理；负责重大建设项目建设过程中工程招投标的监督检查和工业项目招投标活动的监督执法，对行政监督部门招投标执法情况进行监督，对招标代理机构进行监督检查，对招投标活动中的违法行为进行行政处罚。</w:t>
      </w:r>
    </w:p>
    <w:p w:rsidR="00466517" w:rsidRDefault="00466517" w:rsidP="00466517">
      <w:pPr>
        <w:jc w:val="left"/>
        <w:rPr>
          <w:rFonts w:ascii="仿宋" w:eastAsia="仿宋" w:hAnsi="仿宋" w:cs="仿宋"/>
          <w:sz w:val="28"/>
          <w:szCs w:val="32"/>
        </w:rPr>
      </w:pPr>
      <w:r>
        <w:rPr>
          <w:rFonts w:ascii="仿宋" w:eastAsia="仿宋" w:hAnsi="仿宋" w:cs="仿宋" w:hint="eastAsia"/>
          <w:sz w:val="28"/>
          <w:szCs w:val="32"/>
        </w:rPr>
        <w:t>  14、编制和执行全区价格改革规划，拟订并组织实施价格政策，组织实施价格总水平调控；管理国家、省、市列名管理的商品和服务价格（药品和医疗服务价格除外），监管实行市场调节价的商品和服务价格，承担行政事业性收费管理工作；依法对重特大自然灾害和特殊时期实施临时价格干预措施；负责价格成本调查和监审；负责管理监督价格认证工作。</w:t>
      </w:r>
    </w:p>
    <w:p w:rsidR="00466517" w:rsidRDefault="00466517" w:rsidP="00466517">
      <w:pPr>
        <w:jc w:val="left"/>
        <w:rPr>
          <w:rFonts w:ascii="仿宋" w:eastAsia="仿宋" w:hAnsi="仿宋" w:cs="仿宋"/>
          <w:sz w:val="28"/>
          <w:szCs w:val="32"/>
        </w:rPr>
      </w:pPr>
      <w:r>
        <w:rPr>
          <w:rFonts w:ascii="仿宋" w:eastAsia="仿宋" w:hAnsi="仿宋" w:cs="仿宋" w:hint="eastAsia"/>
          <w:sz w:val="28"/>
          <w:szCs w:val="32"/>
        </w:rPr>
        <w:t>  15、制定推进社会信用体系建设的规划和政策措施，推进信用信息平台建设，协调社会信用体系建设中的重大问题。</w:t>
      </w:r>
    </w:p>
    <w:p w:rsidR="00466517" w:rsidRDefault="00466517" w:rsidP="00466517">
      <w:pPr>
        <w:jc w:val="left"/>
        <w:rPr>
          <w:rFonts w:ascii="仿宋" w:eastAsia="仿宋" w:hAnsi="仿宋" w:cs="仿宋"/>
          <w:sz w:val="28"/>
          <w:szCs w:val="32"/>
        </w:rPr>
      </w:pPr>
      <w:r>
        <w:rPr>
          <w:rFonts w:ascii="仿宋" w:eastAsia="仿宋" w:hAnsi="仿宋" w:cs="仿宋" w:hint="eastAsia"/>
          <w:sz w:val="28"/>
          <w:szCs w:val="32"/>
        </w:rPr>
        <w:t>  16、拟订推进经济建设与国防建设协调发展的战略和规划，协调有关重大问题；组织编制全区国民经济动员和装备动员规划、计划，并组织实施有关工作。</w:t>
      </w:r>
    </w:p>
    <w:p w:rsidR="00466517" w:rsidRDefault="00466517" w:rsidP="00466517">
      <w:pPr>
        <w:jc w:val="left"/>
        <w:rPr>
          <w:rFonts w:ascii="仿宋" w:eastAsia="仿宋" w:hAnsi="仿宋" w:cs="仿宋"/>
          <w:sz w:val="28"/>
          <w:szCs w:val="32"/>
        </w:rPr>
      </w:pPr>
      <w:r>
        <w:rPr>
          <w:rFonts w:ascii="仿宋" w:eastAsia="仿宋" w:hAnsi="仿宋" w:cs="仿宋" w:hint="eastAsia"/>
          <w:sz w:val="28"/>
          <w:szCs w:val="32"/>
        </w:rPr>
        <w:lastRenderedPageBreak/>
        <w:t>  17、承办区委、区政府交办的其他事项。</w:t>
      </w:r>
    </w:p>
    <w:p w:rsidR="00466517" w:rsidRDefault="00466517" w:rsidP="00466517">
      <w:pPr>
        <w:pStyle w:val="a3"/>
        <w:spacing w:before="0" w:beforeAutospacing="0" w:after="0" w:afterAutospacing="0" w:line="480" w:lineRule="auto"/>
        <w:rPr>
          <w:rFonts w:ascii="仿宋_GB2312" w:eastAsia="仿宋_GB2312" w:hAnsi="΢���ź�"/>
          <w:sz w:val="32"/>
          <w:szCs w:val="32"/>
        </w:rPr>
      </w:pPr>
    </w:p>
    <w:p w:rsidR="00466517" w:rsidRDefault="00466517" w:rsidP="00466517">
      <w:pPr>
        <w:pStyle w:val="a3"/>
        <w:spacing w:before="0" w:beforeAutospacing="0" w:after="0" w:afterAutospacing="0" w:line="480" w:lineRule="auto"/>
        <w:rPr>
          <w:rFonts w:ascii="仿宋" w:eastAsia="仿宋" w:hAnsi="仿宋" w:cs="仿宋"/>
          <w:b/>
          <w:bCs/>
          <w:sz w:val="30"/>
          <w:szCs w:val="30"/>
        </w:rPr>
      </w:pPr>
      <w:r>
        <w:rPr>
          <w:rFonts w:ascii="仿宋" w:eastAsia="仿宋" w:hAnsi="仿宋" w:cs="仿宋" w:hint="eastAsia"/>
          <w:sz w:val="30"/>
          <w:szCs w:val="30"/>
        </w:rPr>
        <w:t>（二）</w:t>
      </w:r>
      <w:r>
        <w:rPr>
          <w:rFonts w:ascii="仿宋" w:eastAsia="仿宋" w:hAnsi="仿宋" w:cs="仿宋" w:hint="eastAsia"/>
          <w:b/>
          <w:bCs/>
          <w:sz w:val="30"/>
          <w:szCs w:val="30"/>
        </w:rPr>
        <w:t>机构设置、人员情况</w:t>
      </w:r>
    </w:p>
    <w:p w:rsidR="00466517" w:rsidRDefault="00466517" w:rsidP="00466517">
      <w:pPr>
        <w:ind w:firstLineChars="200" w:firstLine="560"/>
        <w:rPr>
          <w:rFonts w:ascii="仿宋" w:eastAsia="仿宋" w:hAnsi="仿宋" w:cs="仿宋"/>
          <w:bCs/>
          <w:color w:val="000000"/>
          <w:sz w:val="28"/>
          <w:szCs w:val="28"/>
          <w:shd w:val="clear" w:color="auto" w:fill="FFFFFF"/>
        </w:rPr>
      </w:pPr>
      <w:r>
        <w:rPr>
          <w:rFonts w:ascii="仿宋" w:eastAsia="仿宋" w:hAnsi="仿宋" w:cs="仿宋" w:hint="eastAsia"/>
          <w:sz w:val="28"/>
          <w:szCs w:val="28"/>
        </w:rPr>
        <w:t>根据上述职责，区发改局设10个内设机构：办公室（行政审批改革股），规划综合股，固定资产投资股（重点办），产业发展股(社会事业股)，洞庭湖发展股，环境能源股，粮食物资调控股，价格管理股，粮食监督检查股，招标投标管理股(招标投标管理办公室)。</w:t>
      </w:r>
    </w:p>
    <w:p w:rsidR="00466517" w:rsidRDefault="00466517" w:rsidP="00466517">
      <w:pPr>
        <w:ind w:firstLineChars="200" w:firstLine="56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其他机构：</w:t>
      </w:r>
    </w:p>
    <w:p w:rsidR="00466517" w:rsidRDefault="00466517" w:rsidP="00466517">
      <w:pPr>
        <w:ind w:firstLineChars="200" w:firstLine="560"/>
        <w:jc w:val="left"/>
        <w:rPr>
          <w:rFonts w:ascii="仿宋" w:eastAsia="仿宋" w:hAnsi="仿宋" w:cs="仿宋"/>
          <w:sz w:val="28"/>
          <w:szCs w:val="28"/>
        </w:rPr>
      </w:pPr>
      <w:r>
        <w:rPr>
          <w:rFonts w:ascii="仿宋" w:eastAsia="仿宋" w:hAnsi="仿宋" w:cs="仿宋" w:hint="eastAsia"/>
          <w:sz w:val="28"/>
          <w:szCs w:val="28"/>
        </w:rPr>
        <w:t>(1)区优化经济发展环境办公室。归口区发展和改革局管理。主要职责是:牵头拟订全区优化经济发展环境政策;受理涉及经济发展环境投诉举报;协调维护重点项目建设环境;组织开展营商环境评价;指导优化经济发展环境相关工作; 承担区优化经济发展环境领导小组办公室具体工作。</w:t>
      </w:r>
    </w:p>
    <w:p w:rsidR="00466517" w:rsidRDefault="00466517" w:rsidP="00466517">
      <w:pPr>
        <w:ind w:firstLineChars="200" w:firstLine="560"/>
        <w:jc w:val="left"/>
        <w:rPr>
          <w:rFonts w:ascii="仿宋" w:eastAsia="仿宋" w:hAnsi="仿宋" w:cs="仿宋"/>
          <w:sz w:val="28"/>
          <w:szCs w:val="28"/>
        </w:rPr>
      </w:pPr>
      <w:r>
        <w:rPr>
          <w:rFonts w:ascii="仿宋" w:eastAsia="仿宋" w:hAnsi="仿宋" w:cs="仿宋" w:hint="eastAsia"/>
          <w:sz w:val="28"/>
          <w:szCs w:val="28"/>
        </w:rPr>
        <w:t>(2)区益沅桃城镇群建设办公室。归口区发展和改革局</w:t>
      </w:r>
      <w:r>
        <w:rPr>
          <w:rFonts w:ascii="仿宋" w:eastAsia="仿宋" w:hAnsi="仿宋" w:cs="仿宋" w:hint="eastAsia"/>
          <w:sz w:val="28"/>
          <w:szCs w:val="28"/>
        </w:rPr>
        <w:br/>
        <w:t>管理。主要职责是:组织编制益沅桃城镇群重点项目建设规划、计划，组织开展相关调查研究，统筹区域内城乡规划、产业发展布局、基础设施建设、资源能源和生态环境保护工作；承担益沅桃城镇群建设领导小组办公室具体工作。</w:t>
      </w:r>
    </w:p>
    <w:p w:rsidR="00466517" w:rsidRDefault="00466517" w:rsidP="00466517">
      <w:pPr>
        <w:ind w:firstLineChars="200" w:firstLine="560"/>
        <w:rPr>
          <w:rFonts w:ascii="仿宋" w:eastAsia="仿宋" w:hAnsi="仿宋" w:cs="仿宋"/>
          <w:bCs/>
          <w:color w:val="000000"/>
          <w:sz w:val="28"/>
          <w:szCs w:val="28"/>
          <w:shd w:val="clear" w:color="auto" w:fill="FFFFFF"/>
        </w:rPr>
      </w:pPr>
      <w:r>
        <w:rPr>
          <w:rFonts w:ascii="仿宋" w:eastAsia="仿宋" w:hAnsi="仿宋" w:cs="仿宋" w:hint="eastAsia"/>
          <w:color w:val="000000"/>
          <w:sz w:val="28"/>
          <w:szCs w:val="28"/>
          <w:shd w:val="clear" w:color="auto" w:fill="FFFFFF"/>
        </w:rPr>
        <w:t>资阳区发展和改革局机关行政编制15个，机关工勤编制数7个，事业编制数13个。</w:t>
      </w:r>
      <w:r>
        <w:rPr>
          <w:rFonts w:ascii="仿宋" w:eastAsia="仿宋" w:hAnsi="仿宋" w:cs="仿宋" w:hint="eastAsia"/>
          <w:bCs/>
          <w:color w:val="000000"/>
          <w:sz w:val="28"/>
          <w:szCs w:val="28"/>
          <w:shd w:val="clear" w:color="auto" w:fill="FFFFFF"/>
        </w:rPr>
        <w:t>实有在职人员39人，退休75人。</w:t>
      </w:r>
    </w:p>
    <w:p w:rsidR="00466517" w:rsidRDefault="00466517" w:rsidP="00466517">
      <w:pPr>
        <w:rPr>
          <w:rFonts w:ascii="仿宋" w:eastAsia="仿宋" w:hAnsi="仿宋" w:cs="仿宋"/>
          <w:b/>
          <w:bCs/>
          <w:sz w:val="30"/>
          <w:szCs w:val="30"/>
        </w:rPr>
      </w:pPr>
      <w:r>
        <w:rPr>
          <w:rFonts w:ascii="仿宋" w:eastAsia="仿宋" w:hAnsi="仿宋" w:cs="仿宋" w:hint="eastAsia"/>
          <w:b/>
          <w:bCs/>
          <w:sz w:val="30"/>
          <w:szCs w:val="30"/>
        </w:rPr>
        <w:t>（三）2020年度重点工作</w:t>
      </w:r>
    </w:p>
    <w:p w:rsidR="00F41F0A" w:rsidRPr="00F41F0A" w:rsidRDefault="00F41F0A" w:rsidP="00F41F0A">
      <w:pPr>
        <w:spacing w:line="600" w:lineRule="exact"/>
        <w:ind w:left="645"/>
        <w:rPr>
          <w:rFonts w:ascii="仿宋" w:eastAsia="仿宋" w:hAnsi="仿宋" w:cs="仿宋"/>
          <w:sz w:val="28"/>
          <w:szCs w:val="28"/>
        </w:rPr>
      </w:pPr>
      <w:r w:rsidRPr="00F41F0A">
        <w:rPr>
          <w:rFonts w:ascii="仿宋" w:eastAsia="仿宋" w:hAnsi="仿宋" w:cs="仿宋" w:hint="eastAsia"/>
          <w:sz w:val="28"/>
          <w:szCs w:val="28"/>
        </w:rPr>
        <w:t>1.“十四五”规划编制已具成效</w:t>
      </w:r>
    </w:p>
    <w:p w:rsidR="00F41F0A" w:rsidRPr="00F41F0A" w:rsidRDefault="00F41F0A" w:rsidP="00F41F0A">
      <w:pPr>
        <w:spacing w:line="620" w:lineRule="exact"/>
        <w:ind w:firstLineChars="200" w:firstLine="560"/>
        <w:rPr>
          <w:rFonts w:ascii="仿宋" w:eastAsia="仿宋" w:hAnsi="仿宋" w:cs="仿宋"/>
          <w:sz w:val="28"/>
          <w:szCs w:val="28"/>
        </w:rPr>
      </w:pPr>
      <w:r w:rsidRPr="00F41F0A">
        <w:rPr>
          <w:rFonts w:ascii="仿宋" w:eastAsia="仿宋" w:hAnsi="仿宋" w:cs="仿宋" w:hint="eastAsia"/>
          <w:sz w:val="28"/>
          <w:szCs w:val="28"/>
        </w:rPr>
        <w:lastRenderedPageBreak/>
        <w:t>一是梳理“十三五”重大成就。“十三五”末，全区</w:t>
      </w:r>
      <w:r w:rsidRPr="00F41F0A">
        <w:rPr>
          <w:rFonts w:ascii="仿宋" w:eastAsia="仿宋" w:hAnsi="仿宋" w:cs="仿宋"/>
          <w:sz w:val="28"/>
          <w:szCs w:val="28"/>
        </w:rPr>
        <w:t>GDP总量达到</w:t>
      </w:r>
      <w:r w:rsidRPr="00F41F0A">
        <w:rPr>
          <w:rFonts w:ascii="仿宋" w:eastAsia="仿宋" w:hAnsi="仿宋" w:cs="仿宋" w:hint="eastAsia"/>
          <w:sz w:val="28"/>
          <w:szCs w:val="28"/>
        </w:rPr>
        <w:t>195.5</w:t>
      </w:r>
      <w:r w:rsidRPr="00F41F0A">
        <w:rPr>
          <w:rFonts w:ascii="仿宋" w:eastAsia="仿宋" w:hAnsi="仿宋" w:cs="仿宋"/>
          <w:sz w:val="28"/>
          <w:szCs w:val="28"/>
        </w:rPr>
        <w:t>亿元，固定资产投资年均增长12%，高新技术产业增加值占GDP比重为33%</w:t>
      </w:r>
      <w:r w:rsidRPr="00F41F0A">
        <w:rPr>
          <w:rFonts w:ascii="仿宋" w:eastAsia="仿宋" w:hAnsi="仿宋" w:cs="仿宋" w:hint="eastAsia"/>
          <w:sz w:val="28"/>
          <w:szCs w:val="28"/>
        </w:rPr>
        <w:t>，</w:t>
      </w:r>
      <w:r w:rsidRPr="00F41F0A">
        <w:rPr>
          <w:rFonts w:ascii="仿宋" w:eastAsia="仿宋" w:hAnsi="仿宋" w:cs="仿宋"/>
          <w:sz w:val="28"/>
          <w:szCs w:val="28"/>
        </w:rPr>
        <w:t>社会零售品消费总额年均增长11%</w:t>
      </w:r>
      <w:r w:rsidRPr="00F41F0A">
        <w:rPr>
          <w:rFonts w:ascii="仿宋" w:eastAsia="仿宋" w:hAnsi="仿宋" w:cs="仿宋" w:hint="eastAsia"/>
          <w:sz w:val="28"/>
          <w:szCs w:val="28"/>
        </w:rPr>
        <w:t>，</w:t>
      </w:r>
      <w:r w:rsidRPr="00F41F0A">
        <w:rPr>
          <w:rFonts w:ascii="仿宋" w:eastAsia="仿宋" w:hAnsi="仿宋" w:cs="仿宋"/>
          <w:sz w:val="28"/>
          <w:szCs w:val="28"/>
        </w:rPr>
        <w:t>农村居民人均可支配收入为22403元，城镇居民人均可支配收入为35655元，城镇化率达60%</w:t>
      </w:r>
      <w:r w:rsidRPr="00F41F0A">
        <w:rPr>
          <w:rFonts w:ascii="仿宋" w:eastAsia="仿宋" w:hAnsi="仿宋" w:cs="仿宋" w:hint="eastAsia"/>
          <w:sz w:val="28"/>
          <w:szCs w:val="28"/>
        </w:rPr>
        <w:t>。国民经济健康发展，生活水平持续提高，社会事业繁荣发展，生态环境不断向好，政治大局和谐稳定。重点工作完成较好，“一园、一城、一湖、一路”建设成绩斐然。二是确定基本思路。以习近平新时代中国特色社会主义思想为指导，深入贯彻落实习近平总书记对湖南工作的重要讲话指示精神，抢抓“一带一路”、长江经济带、粤港澳大湾区、长株潭国家自主创新示范区、洞庭湖生态经济区等战略机遇和溢出效应，形成“一核一极一带一廊”发展新格局，按照生态优先、重点突破、彰显特色的高质量发展路径，着力实施“基础拉动、工业带动、创新驱动、商贸促动、文旅推动”五大战略，大力推进一二三产融合、产城文旅融合、市区街镇融合，把资阳建设成为益沅桃城镇群新兴产业集聚区、湖南现代滨水农业示范区、环洞庭湖旅游度假慢生活体验区、长江中游益居益业益游幸福区，大幅提升资阳发展活力、城市品质、市井人气与民生福祉，为资阳实现基本现代化打下坚实基础。三是加强项目储备。建立并完善“十四五”重大项目库，目前在库储备项目265个，总投资1380.65亿元。推动各部门加强与上级对口部门的衔接汇报，努力争取更多重大项目进入上级专项规划“盘子”，已推送包括湖南银城科技创新中心项目在内的10个省级项目到市发改委，总投资432.5</w:t>
      </w:r>
      <w:r w:rsidRPr="00F41F0A">
        <w:rPr>
          <w:rFonts w:ascii="仿宋" w:eastAsia="仿宋" w:hAnsi="仿宋" w:cs="仿宋" w:hint="eastAsia"/>
          <w:sz w:val="28"/>
          <w:szCs w:val="28"/>
        </w:rPr>
        <w:lastRenderedPageBreak/>
        <w:t>亿元。四是形成工作合力。建立与部门沟通衔接机制，形成工作合力，构建起信息互通、工作同步、成果共享的局面。 “十四五”规划编制已形成初稿。</w:t>
      </w:r>
    </w:p>
    <w:p w:rsidR="00F41F0A" w:rsidRPr="00F41F0A" w:rsidRDefault="00F41F0A" w:rsidP="00F41F0A">
      <w:pPr>
        <w:spacing w:line="600" w:lineRule="exact"/>
        <w:ind w:left="645"/>
        <w:rPr>
          <w:rFonts w:ascii="仿宋" w:eastAsia="仿宋" w:hAnsi="仿宋" w:cs="仿宋"/>
          <w:sz w:val="28"/>
          <w:szCs w:val="28"/>
        </w:rPr>
      </w:pPr>
      <w:r w:rsidRPr="00F41F0A">
        <w:rPr>
          <w:rFonts w:ascii="仿宋" w:eastAsia="仿宋" w:hAnsi="仿宋" w:cs="仿宋" w:hint="eastAsia"/>
          <w:sz w:val="28"/>
          <w:szCs w:val="28"/>
        </w:rPr>
        <w:t>2.固定资产投资稳步增长</w:t>
      </w:r>
    </w:p>
    <w:p w:rsidR="00F41F0A" w:rsidRPr="00F41F0A" w:rsidRDefault="00F41F0A" w:rsidP="00F41F0A">
      <w:pPr>
        <w:spacing w:line="620" w:lineRule="exact"/>
        <w:ind w:firstLineChars="200" w:firstLine="560"/>
        <w:rPr>
          <w:rFonts w:ascii="仿宋" w:eastAsia="仿宋" w:hAnsi="仿宋" w:cs="仿宋"/>
          <w:sz w:val="28"/>
          <w:szCs w:val="28"/>
        </w:rPr>
      </w:pPr>
      <w:r w:rsidRPr="00F41F0A">
        <w:rPr>
          <w:rFonts w:ascii="仿宋" w:eastAsia="仿宋" w:hAnsi="仿宋" w:cs="仿宋" w:hint="eastAsia"/>
          <w:sz w:val="28"/>
          <w:szCs w:val="28"/>
        </w:rPr>
        <w:t>固定资产目标任务为95.9亿元。1-10月，全区完成固定资产投资68.3亿元，同比增长13%。其中5000万元以上项目完成投资43.94亿元，增长-5.0%；5000万元以下项目完成投资17.84亿元，增长81.6%；房地产项目完成投资5.1亿元，增长17.0%；市电网项目切块完成投资14146万元。预计全年完成固定资产投资95.9亿元，增长12%。1-10月，全区完成产业投资46.94亿元，占固定资产投资的比重为68.73%，超过了小康指标58%的目标任务。预计全年产业投资占比达到60%以上。</w:t>
      </w:r>
    </w:p>
    <w:p w:rsidR="00F41F0A" w:rsidRPr="00F41F0A" w:rsidRDefault="00F41F0A" w:rsidP="00F41F0A">
      <w:pPr>
        <w:spacing w:line="600" w:lineRule="exact"/>
        <w:ind w:left="645"/>
        <w:rPr>
          <w:rFonts w:ascii="仿宋" w:eastAsia="仿宋" w:hAnsi="仿宋" w:cs="仿宋"/>
          <w:sz w:val="28"/>
          <w:szCs w:val="28"/>
        </w:rPr>
      </w:pPr>
      <w:r w:rsidRPr="00F41F0A">
        <w:rPr>
          <w:rFonts w:ascii="仿宋" w:eastAsia="仿宋" w:hAnsi="仿宋" w:cs="仿宋" w:hint="eastAsia"/>
          <w:sz w:val="28"/>
          <w:szCs w:val="28"/>
        </w:rPr>
        <w:t>3.重点项目建设持续发力</w:t>
      </w:r>
    </w:p>
    <w:p w:rsidR="00F41F0A" w:rsidRPr="00F41F0A" w:rsidRDefault="00F41F0A" w:rsidP="00F41F0A">
      <w:pPr>
        <w:spacing w:line="600" w:lineRule="exact"/>
        <w:ind w:firstLineChars="200" w:firstLine="560"/>
        <w:rPr>
          <w:rFonts w:ascii="仿宋" w:eastAsia="仿宋" w:hAnsi="仿宋" w:cs="仿宋"/>
          <w:sz w:val="28"/>
          <w:szCs w:val="28"/>
        </w:rPr>
      </w:pPr>
      <w:r w:rsidRPr="00F41F0A">
        <w:rPr>
          <w:rFonts w:ascii="仿宋" w:eastAsia="仿宋" w:hAnsi="仿宋" w:cs="仿宋" w:hint="eastAsia"/>
          <w:sz w:val="28"/>
          <w:szCs w:val="28"/>
        </w:rPr>
        <w:t>我区计划重点建设的项目共61个，区级重点项目总投资229.9亿元，2020年计划投资80.6亿元。目前已开工建设的项目52个。市级重点项目26个，总投资85.4亿元，计划投资34.9亿元，1-11月完成固定资产投资40.9亿元，提前完成全年目标任务。</w:t>
      </w:r>
    </w:p>
    <w:p w:rsidR="00F41F0A" w:rsidRPr="00F41F0A" w:rsidRDefault="00F41F0A" w:rsidP="00F41F0A">
      <w:pPr>
        <w:spacing w:line="600" w:lineRule="exact"/>
        <w:ind w:left="645"/>
        <w:rPr>
          <w:rFonts w:ascii="仿宋" w:eastAsia="仿宋" w:hAnsi="仿宋" w:cs="仿宋"/>
          <w:sz w:val="28"/>
          <w:szCs w:val="28"/>
        </w:rPr>
      </w:pPr>
      <w:r w:rsidRPr="00F41F0A">
        <w:rPr>
          <w:rFonts w:ascii="仿宋" w:eastAsia="仿宋" w:hAnsi="仿宋" w:cs="仿宋" w:hint="eastAsia"/>
          <w:sz w:val="28"/>
          <w:szCs w:val="28"/>
        </w:rPr>
        <w:t>4.粮食安全担当作为</w:t>
      </w:r>
    </w:p>
    <w:p w:rsidR="00F41F0A" w:rsidRPr="00F41F0A" w:rsidRDefault="00F41F0A" w:rsidP="00F41F0A">
      <w:pPr>
        <w:spacing w:line="600" w:lineRule="exact"/>
        <w:ind w:firstLineChars="200" w:firstLine="560"/>
        <w:rPr>
          <w:rFonts w:ascii="仿宋" w:eastAsia="仿宋" w:hAnsi="仿宋" w:cs="仿宋"/>
          <w:sz w:val="28"/>
          <w:szCs w:val="28"/>
        </w:rPr>
      </w:pPr>
      <w:r w:rsidRPr="00F41F0A">
        <w:rPr>
          <w:rFonts w:ascii="仿宋" w:eastAsia="仿宋" w:hAnsi="仿宋" w:cs="仿宋" w:hint="eastAsia"/>
          <w:sz w:val="28"/>
          <w:szCs w:val="28"/>
        </w:rPr>
        <w:t>一是提高站位谋划。全区高度重视，将粮食安全工作摆到更加突出的位置，高规格成立了粮食收购协调领导小组；区委召开常委会议专题研究，通过了《资阳区2020年粮食收购工作实施方案》与《益阳市资阳区2020年度超标稻谷收购与处置办法》。二是细化收</w:t>
      </w:r>
      <w:r w:rsidRPr="00F41F0A">
        <w:rPr>
          <w:rFonts w:ascii="仿宋" w:eastAsia="仿宋" w:hAnsi="仿宋" w:cs="仿宋" w:hint="eastAsia"/>
          <w:sz w:val="28"/>
          <w:szCs w:val="28"/>
        </w:rPr>
        <w:lastRenderedPageBreak/>
        <w:t>购举措。一方面，强化收购保障。通过旧仓修整、民营企业代储、租赁邻近县（市）区仓库来扩大有效仓容；积极筹措收购资金，区粮食收储有限责任公司向市农发行申报粮食收购资金贷款；加大对外销粮食市场的日常监测力度。另一方面，做好粮食收购和管控。严格执行粮食溯源制度，统一采购设备，组织收购人员、粮食生产者与经营者进行培训；根据土壤结构、灌溉水源、种植品种等不同因素，对在种稻谷进行田间分块抽样检测，对收割之前的粮情做到心中有数，指导粮食生产者尽可能地分类储存，把检测关卡前移，利于先检后收、分类储存。政府临时储备粮收购工作现已完成，共收储超标粮食1912吨，贷款为447.3万元。没有出现“卖粮难”与负面舆情，收购秩序井然，社会反响良好。同时，严管本地超标粮处置，严防外地超标粮进入。三是推进仓储建设。沙头粮站新建2.5万吨粮食现代物流设施建设项目，已按正常程序在网上填报了项目报建资料并领取了施工许可证，完成1#2#3号平房仓打桩工程，2#3#平房仓标高1米处建设主体工程,初步预计年前2#3#号平房仓主体竣工。马良粮食储备库搬迁工作已与区创鑫公司对接，确定在区食品加工园标准化厂房东侧新建1.5万吨粮食储备仓库和配套设施，已完成初步设计。</w:t>
      </w:r>
    </w:p>
    <w:p w:rsidR="00F41F0A" w:rsidRPr="00F41F0A" w:rsidRDefault="00F41F0A" w:rsidP="00F41F0A">
      <w:pPr>
        <w:spacing w:line="600" w:lineRule="exact"/>
        <w:ind w:left="645"/>
        <w:rPr>
          <w:rFonts w:ascii="仿宋" w:eastAsia="仿宋" w:hAnsi="仿宋" w:cs="仿宋"/>
          <w:sz w:val="28"/>
          <w:szCs w:val="28"/>
        </w:rPr>
      </w:pPr>
      <w:r w:rsidRPr="00F41F0A">
        <w:rPr>
          <w:rFonts w:ascii="仿宋" w:eastAsia="仿宋" w:hAnsi="仿宋" w:cs="仿宋" w:hint="eastAsia"/>
          <w:sz w:val="28"/>
          <w:szCs w:val="28"/>
        </w:rPr>
        <w:t>5.价格监管再上台阶</w:t>
      </w:r>
    </w:p>
    <w:p w:rsidR="00F41F0A" w:rsidRPr="00F41F0A" w:rsidRDefault="00F41F0A" w:rsidP="00F41F0A">
      <w:pPr>
        <w:spacing w:line="600" w:lineRule="exact"/>
        <w:ind w:firstLineChars="200" w:firstLine="560"/>
        <w:rPr>
          <w:rFonts w:ascii="仿宋" w:eastAsia="仿宋" w:hAnsi="仿宋" w:cs="仿宋"/>
          <w:sz w:val="28"/>
          <w:szCs w:val="28"/>
        </w:rPr>
      </w:pPr>
      <w:r w:rsidRPr="00F41F0A">
        <w:rPr>
          <w:rFonts w:ascii="仿宋" w:eastAsia="仿宋" w:hAnsi="仿宋" w:cs="仿宋" w:hint="eastAsia"/>
          <w:sz w:val="28"/>
          <w:szCs w:val="28"/>
        </w:rPr>
        <w:t>价格管理工作完成了春、秋季教育收费文件下达、教育收费标准核定，督促相关部门对城乡低保户、特困户、优抚对象和失业人员发放价格临时补贴，做好了新冠肺炎疫情防控期间重要生活物资保供稳价工作，加强了教育、医疗、城市基础设施、景区及城镇非</w:t>
      </w:r>
      <w:r w:rsidRPr="00F41F0A">
        <w:rPr>
          <w:rFonts w:ascii="仿宋" w:eastAsia="仿宋" w:hAnsi="仿宋" w:cs="仿宋" w:hint="eastAsia"/>
          <w:sz w:val="28"/>
          <w:szCs w:val="28"/>
        </w:rPr>
        <w:lastRenderedPageBreak/>
        <w:t>居民生活燃气价格的监管。价格认证工作共完成涉案物价格认定案件120宗，认定标的总额81.67万元。</w:t>
      </w:r>
    </w:p>
    <w:p w:rsidR="00F41F0A" w:rsidRPr="00F41F0A" w:rsidRDefault="00F41F0A" w:rsidP="00F41F0A">
      <w:pPr>
        <w:spacing w:line="600" w:lineRule="exact"/>
        <w:ind w:left="645"/>
        <w:rPr>
          <w:rFonts w:ascii="仿宋" w:eastAsia="仿宋" w:hAnsi="仿宋" w:cs="仿宋"/>
          <w:sz w:val="28"/>
          <w:szCs w:val="28"/>
        </w:rPr>
      </w:pPr>
      <w:r w:rsidRPr="00F41F0A">
        <w:rPr>
          <w:rFonts w:ascii="仿宋" w:eastAsia="仿宋" w:hAnsi="仿宋" w:cs="仿宋" w:hint="eastAsia"/>
          <w:sz w:val="28"/>
          <w:szCs w:val="28"/>
        </w:rPr>
        <w:t>6.生态文明建设成效显著</w:t>
      </w:r>
    </w:p>
    <w:p w:rsidR="00F41F0A" w:rsidRPr="00F41F0A" w:rsidRDefault="00F41F0A" w:rsidP="00F41F0A">
      <w:pPr>
        <w:spacing w:line="600" w:lineRule="exact"/>
        <w:ind w:firstLineChars="200" w:firstLine="560"/>
        <w:rPr>
          <w:rFonts w:ascii="仿宋" w:eastAsia="仿宋" w:hAnsi="仿宋" w:cs="仿宋"/>
          <w:sz w:val="28"/>
          <w:szCs w:val="28"/>
        </w:rPr>
      </w:pPr>
      <w:r w:rsidRPr="00F41F0A">
        <w:rPr>
          <w:rFonts w:ascii="仿宋" w:eastAsia="仿宋" w:hAnsi="仿宋" w:cs="仿宋" w:hint="eastAsia"/>
          <w:sz w:val="28"/>
          <w:szCs w:val="28"/>
        </w:rPr>
        <w:t>环境质量总体保持良好状态，达到时序进度要求，调度涉及全区16个牵头单位指标55项，预计12月，全区生态优势进一步巩固，湿地保护率达95%以上；资源利用效率进一步提高，万元GDP能耗同比下降；环境质量进一步提升，龙山港和万家嘴均为II类。城区环境空气质量优良率为90.9％。我区统筹推进洞庭湖生态环境治理三年行动计划，确保完成各项工作任务，探索绿色发展新路径，积极推进洞庭湖生态经济区建设；积极争取项目资金，已到位2020年的重点流域水环境综合治理中央预算内资金1795万元、2020年长江经济带和洞庭湖发展省预算内资金610万元；目前,茈湖口镇“五结合”项目正在加速推进，预计年底完工，新祝伴山水系（河渠）水环境综合治理项目已动工建设,正在进行底泥清淤、污水管网铺设、挡土墙浇筑。</w:t>
      </w:r>
      <w:bookmarkStart w:id="1" w:name="_GoBack"/>
      <w:bookmarkEnd w:id="1"/>
    </w:p>
    <w:p w:rsidR="00F41F0A" w:rsidRPr="00F41F0A" w:rsidRDefault="00F41F0A" w:rsidP="00F41F0A">
      <w:pPr>
        <w:spacing w:line="600" w:lineRule="exact"/>
        <w:ind w:left="645"/>
        <w:rPr>
          <w:rFonts w:ascii="仿宋" w:eastAsia="仿宋" w:hAnsi="仿宋" w:cs="仿宋"/>
          <w:sz w:val="28"/>
          <w:szCs w:val="28"/>
        </w:rPr>
      </w:pPr>
      <w:r w:rsidRPr="00F41F0A">
        <w:rPr>
          <w:rFonts w:ascii="仿宋" w:eastAsia="仿宋" w:hAnsi="仿宋" w:cs="仿宋" w:hint="eastAsia"/>
          <w:sz w:val="28"/>
          <w:szCs w:val="28"/>
        </w:rPr>
        <w:t>7.制度建设进一步完善</w:t>
      </w:r>
    </w:p>
    <w:p w:rsidR="00F41F0A" w:rsidRPr="00F41F0A" w:rsidRDefault="00F41F0A" w:rsidP="00F41F0A">
      <w:pPr>
        <w:spacing w:line="600" w:lineRule="exact"/>
        <w:ind w:firstLineChars="200" w:firstLine="560"/>
        <w:rPr>
          <w:rFonts w:ascii="仿宋" w:eastAsia="仿宋" w:hAnsi="仿宋" w:cs="仿宋"/>
          <w:sz w:val="28"/>
          <w:szCs w:val="28"/>
        </w:rPr>
      </w:pPr>
      <w:r w:rsidRPr="00F41F0A">
        <w:rPr>
          <w:rFonts w:ascii="仿宋" w:eastAsia="仿宋" w:hAnsi="仿宋" w:cs="仿宋" w:hint="eastAsia"/>
          <w:sz w:val="28"/>
          <w:szCs w:val="28"/>
        </w:rPr>
        <w:t>一是加强组织建设，增强班子合力。结合工作实际，调整了部分领导班子成员工作分工，提高领导班子整体能力。二是完善管理制度，推进规范运行。完善各项制度，严格执行上下班考勤、请销假和外出报备制度，制作了“亮身份、作表率”党员工作岗位牌，修订了绩效考核与奖金分配方案，激发了干职工工作热情，优化了机关服务能力。三是优化选人用人机制，充实发改力量。进一步拓宽选人用人渠道，引进学历高、实践经验丰富、契合岗位实际、有</w:t>
      </w:r>
      <w:r w:rsidRPr="00F41F0A">
        <w:rPr>
          <w:rFonts w:ascii="仿宋" w:eastAsia="仿宋" w:hAnsi="仿宋" w:cs="仿宋" w:hint="eastAsia"/>
          <w:sz w:val="28"/>
          <w:szCs w:val="28"/>
        </w:rPr>
        <w:lastRenderedPageBreak/>
        <w:t>较大发展潜力的年轻干部，通过借调、考录等方式已新进人员3名，提升了干部工作水平。四是强化能力建设，提升干部队伍素质。通过相关培训，增进干部知识储备，提高政策理论水平；建立健全“走出去”学习机制，选派干部到上级对口部门跟班学习，提高我局干部应对复杂局面、驾驭市场经济、领导科学发展的能力。</w:t>
      </w:r>
    </w:p>
    <w:p w:rsidR="00F41F0A" w:rsidRPr="00F41F0A" w:rsidRDefault="00F41F0A" w:rsidP="00466517">
      <w:pPr>
        <w:rPr>
          <w:rFonts w:ascii="仿宋" w:eastAsia="仿宋" w:hAnsi="仿宋" w:cs="仿宋"/>
          <w:b/>
          <w:bCs/>
          <w:sz w:val="30"/>
          <w:szCs w:val="30"/>
        </w:rPr>
      </w:pPr>
    </w:p>
    <w:p w:rsidR="00466517" w:rsidRDefault="00466517" w:rsidP="00466517">
      <w:pPr>
        <w:pStyle w:val="a3"/>
        <w:spacing w:before="0" w:beforeAutospacing="0" w:after="0" w:afterAutospacing="0"/>
        <w:rPr>
          <w:rFonts w:ascii="仿宋" w:eastAsia="仿宋" w:hAnsi="仿宋" w:cs="仿宋"/>
          <w:b/>
          <w:bCs/>
          <w:sz w:val="28"/>
          <w:szCs w:val="28"/>
        </w:rPr>
      </w:pPr>
      <w:r>
        <w:rPr>
          <w:rFonts w:ascii="仿宋" w:eastAsia="仿宋" w:hAnsi="仿宋" w:cs="仿宋" w:hint="eastAsia"/>
          <w:b/>
          <w:bCs/>
          <w:sz w:val="28"/>
          <w:szCs w:val="28"/>
        </w:rPr>
        <w:t>（四）整体收入支出规模、使用方向</w:t>
      </w:r>
    </w:p>
    <w:p w:rsidR="00466517" w:rsidRDefault="00BB72F6" w:rsidP="00466517">
      <w:pPr>
        <w:pStyle w:val="a3"/>
        <w:spacing w:before="0" w:beforeAutospacing="0" w:after="0" w:afterAutospacing="0"/>
        <w:ind w:firstLineChars="200" w:firstLine="560"/>
        <w:rPr>
          <w:rFonts w:ascii="仿宋" w:eastAsia="仿宋" w:hAnsi="仿宋" w:cs="仿宋"/>
          <w:sz w:val="28"/>
          <w:szCs w:val="28"/>
        </w:rPr>
      </w:pPr>
      <w:r>
        <w:rPr>
          <w:rFonts w:ascii="仿宋" w:eastAsia="仿宋" w:hAnsi="仿宋" w:cs="仿宋" w:hint="eastAsia"/>
          <w:sz w:val="28"/>
          <w:szCs w:val="28"/>
        </w:rPr>
        <w:t>2020</w:t>
      </w:r>
      <w:r w:rsidR="00466517">
        <w:rPr>
          <w:rFonts w:ascii="仿宋" w:eastAsia="仿宋" w:hAnsi="仿宋" w:cs="仿宋" w:hint="eastAsia"/>
          <w:sz w:val="28"/>
          <w:szCs w:val="28"/>
        </w:rPr>
        <w:t>年区发改局总收入</w:t>
      </w:r>
      <w:r>
        <w:rPr>
          <w:rFonts w:ascii="仿宋" w:eastAsia="仿宋" w:hAnsi="仿宋" w:cs="仿宋" w:hint="eastAsia"/>
          <w:sz w:val="28"/>
          <w:szCs w:val="28"/>
        </w:rPr>
        <w:t>3633.5</w:t>
      </w:r>
      <w:r w:rsidR="00466517">
        <w:rPr>
          <w:rFonts w:ascii="仿宋" w:eastAsia="仿宋" w:hAnsi="仿宋" w:cs="仿宋" w:hint="eastAsia"/>
          <w:sz w:val="28"/>
          <w:szCs w:val="28"/>
        </w:rPr>
        <w:t>万元, 今年新增了</w:t>
      </w:r>
      <w:r>
        <w:rPr>
          <w:rFonts w:ascii="仿宋" w:eastAsia="仿宋" w:hAnsi="仿宋" w:cs="仿宋" w:hint="eastAsia"/>
          <w:sz w:val="28"/>
          <w:szCs w:val="28"/>
        </w:rPr>
        <w:t>粮食专项业务活动财政拨款收入2200万元，粮食安全专项资金1400万元，</w:t>
      </w:r>
      <w:r w:rsidR="0098122E">
        <w:rPr>
          <w:rFonts w:ascii="仿宋" w:eastAsia="仿宋" w:hAnsi="仿宋" w:cs="仿宋" w:hint="eastAsia"/>
          <w:sz w:val="28"/>
          <w:szCs w:val="28"/>
        </w:rPr>
        <w:t>超标粮专损和利费补贴1158.81万元等专项资金</w:t>
      </w:r>
      <w:r w:rsidR="00466517">
        <w:rPr>
          <w:rFonts w:ascii="仿宋" w:eastAsia="仿宋" w:hAnsi="仿宋" w:cs="仿宋" w:hint="eastAsia"/>
          <w:sz w:val="28"/>
          <w:szCs w:val="28"/>
        </w:rPr>
        <w:t>。</w:t>
      </w:r>
    </w:p>
    <w:p w:rsidR="00466517" w:rsidRDefault="00466517" w:rsidP="00466517">
      <w:pPr>
        <w:pStyle w:val="a3"/>
        <w:spacing w:before="0" w:beforeAutospacing="0" w:after="0" w:afterAutospacing="0"/>
        <w:rPr>
          <w:rFonts w:ascii="仿宋" w:eastAsia="仿宋" w:hAnsi="仿宋" w:cs="仿宋"/>
          <w:sz w:val="28"/>
          <w:szCs w:val="28"/>
        </w:rPr>
      </w:pPr>
      <w:r>
        <w:rPr>
          <w:rFonts w:ascii="仿宋" w:eastAsia="仿宋" w:hAnsi="仿宋" w:cs="仿宋" w:hint="eastAsia"/>
          <w:sz w:val="28"/>
          <w:szCs w:val="28"/>
        </w:rPr>
        <w:t>20</w:t>
      </w:r>
      <w:r w:rsidR="0098122E">
        <w:rPr>
          <w:rFonts w:ascii="仿宋" w:eastAsia="仿宋" w:hAnsi="仿宋" w:cs="仿宋" w:hint="eastAsia"/>
          <w:sz w:val="28"/>
          <w:szCs w:val="28"/>
        </w:rPr>
        <w:t>20</w:t>
      </w:r>
      <w:r>
        <w:rPr>
          <w:rFonts w:ascii="仿宋" w:eastAsia="仿宋" w:hAnsi="仿宋" w:cs="仿宋" w:hint="eastAsia"/>
          <w:sz w:val="28"/>
          <w:szCs w:val="28"/>
        </w:rPr>
        <w:t>年区发改局总支出</w:t>
      </w:r>
      <w:r w:rsidR="0098122E">
        <w:rPr>
          <w:rFonts w:ascii="仿宋" w:eastAsia="仿宋" w:hAnsi="仿宋" w:cs="仿宋" w:hint="eastAsia"/>
          <w:sz w:val="28"/>
          <w:szCs w:val="28"/>
        </w:rPr>
        <w:t>3280.77</w:t>
      </w:r>
      <w:r>
        <w:rPr>
          <w:rFonts w:ascii="仿宋" w:eastAsia="仿宋" w:hAnsi="仿宋" w:cs="仿宋" w:hint="eastAsia"/>
          <w:sz w:val="28"/>
          <w:szCs w:val="28"/>
        </w:rPr>
        <w:t>万元</w:t>
      </w:r>
      <w:r w:rsidR="0098122E">
        <w:rPr>
          <w:rFonts w:ascii="仿宋" w:eastAsia="仿宋" w:hAnsi="仿宋" w:cs="仿宋" w:hint="eastAsia"/>
          <w:sz w:val="28"/>
          <w:szCs w:val="28"/>
        </w:rPr>
        <w:t>。</w:t>
      </w:r>
    </w:p>
    <w:p w:rsidR="00466517" w:rsidRDefault="00466517" w:rsidP="00466517">
      <w:pPr>
        <w:pStyle w:val="a3"/>
        <w:numPr>
          <w:ilvl w:val="0"/>
          <w:numId w:val="3"/>
        </w:numPr>
        <w:spacing w:before="0" w:beforeAutospacing="0" w:after="0" w:afterAutospacing="0"/>
        <w:rPr>
          <w:rFonts w:ascii="仿宋" w:eastAsia="仿宋" w:hAnsi="仿宋" w:cs="仿宋"/>
          <w:sz w:val="28"/>
          <w:szCs w:val="28"/>
        </w:rPr>
      </w:pPr>
      <w:r>
        <w:rPr>
          <w:rFonts w:ascii="仿宋" w:eastAsia="仿宋" w:hAnsi="仿宋" w:cs="仿宋" w:hint="eastAsia"/>
          <w:sz w:val="28"/>
          <w:szCs w:val="28"/>
        </w:rPr>
        <w:t>20</w:t>
      </w:r>
      <w:r w:rsidR="0098122E">
        <w:rPr>
          <w:rFonts w:ascii="仿宋" w:eastAsia="仿宋" w:hAnsi="仿宋" w:cs="仿宋" w:hint="eastAsia"/>
          <w:sz w:val="28"/>
          <w:szCs w:val="28"/>
        </w:rPr>
        <w:t>20</w:t>
      </w:r>
      <w:r>
        <w:rPr>
          <w:rFonts w:ascii="仿宋" w:eastAsia="仿宋" w:hAnsi="仿宋" w:cs="仿宋" w:hint="eastAsia"/>
          <w:sz w:val="28"/>
          <w:szCs w:val="28"/>
        </w:rPr>
        <w:t>年资阳区发改局基本支出</w:t>
      </w:r>
      <w:r w:rsidR="0098122E">
        <w:rPr>
          <w:rFonts w:ascii="仿宋" w:eastAsia="仿宋" w:hAnsi="仿宋" w:cs="仿宋" w:hint="eastAsia"/>
          <w:sz w:val="28"/>
          <w:szCs w:val="28"/>
        </w:rPr>
        <w:t>866.46</w:t>
      </w:r>
      <w:r>
        <w:rPr>
          <w:rFonts w:ascii="仿宋" w:eastAsia="仿宋" w:hAnsi="仿宋" w:cs="仿宋" w:hint="eastAsia"/>
          <w:sz w:val="28"/>
          <w:szCs w:val="28"/>
        </w:rPr>
        <w:t>万元：其中人员工资支出</w:t>
      </w:r>
      <w:r w:rsidR="0098122E">
        <w:rPr>
          <w:rFonts w:ascii="仿宋" w:eastAsia="仿宋" w:hAnsi="仿宋" w:cs="仿宋" w:hint="eastAsia"/>
          <w:sz w:val="28"/>
          <w:szCs w:val="28"/>
        </w:rPr>
        <w:t>586.36</w:t>
      </w:r>
      <w:r>
        <w:rPr>
          <w:rFonts w:ascii="仿宋" w:eastAsia="仿宋" w:hAnsi="仿宋" w:cs="仿宋" w:hint="eastAsia"/>
          <w:sz w:val="28"/>
          <w:szCs w:val="28"/>
        </w:rPr>
        <w:t>万元，曰常公用经费支出</w:t>
      </w:r>
      <w:r w:rsidR="0098122E">
        <w:rPr>
          <w:rFonts w:ascii="仿宋" w:eastAsia="仿宋" w:hAnsi="仿宋" w:cs="仿宋" w:hint="eastAsia"/>
          <w:sz w:val="28"/>
          <w:szCs w:val="28"/>
        </w:rPr>
        <w:t>280.1</w:t>
      </w:r>
      <w:r>
        <w:rPr>
          <w:rFonts w:ascii="仿宋" w:eastAsia="仿宋" w:hAnsi="仿宋" w:cs="仿宋" w:hint="eastAsia"/>
          <w:sz w:val="28"/>
          <w:szCs w:val="28"/>
        </w:rPr>
        <w:t>万元。</w:t>
      </w:r>
    </w:p>
    <w:p w:rsidR="00466517" w:rsidRDefault="00466517" w:rsidP="00466517">
      <w:pPr>
        <w:pStyle w:val="a3"/>
        <w:numPr>
          <w:ilvl w:val="0"/>
          <w:numId w:val="4"/>
        </w:numPr>
        <w:spacing w:before="0" w:beforeAutospacing="0" w:after="0" w:afterAutospacing="0"/>
        <w:rPr>
          <w:rFonts w:ascii="仿宋" w:eastAsia="仿宋" w:hAnsi="仿宋" w:cs="仿宋"/>
          <w:sz w:val="28"/>
          <w:szCs w:val="28"/>
        </w:rPr>
      </w:pPr>
      <w:r>
        <w:rPr>
          <w:rFonts w:ascii="仿宋" w:eastAsia="仿宋" w:hAnsi="仿宋" w:cs="仿宋" w:hint="eastAsia"/>
          <w:sz w:val="28"/>
          <w:szCs w:val="28"/>
        </w:rPr>
        <w:t>20</w:t>
      </w:r>
      <w:r w:rsidR="007B5015">
        <w:rPr>
          <w:rFonts w:ascii="仿宋" w:eastAsia="仿宋" w:hAnsi="仿宋" w:cs="仿宋" w:hint="eastAsia"/>
          <w:sz w:val="28"/>
          <w:szCs w:val="28"/>
        </w:rPr>
        <w:t>20</w:t>
      </w:r>
      <w:r>
        <w:rPr>
          <w:rFonts w:ascii="仿宋" w:eastAsia="仿宋" w:hAnsi="仿宋" w:cs="仿宋" w:hint="eastAsia"/>
          <w:sz w:val="28"/>
          <w:szCs w:val="28"/>
        </w:rPr>
        <w:t>年资阳区发改局项目经费支出</w:t>
      </w:r>
      <w:r w:rsidR="007B5015">
        <w:rPr>
          <w:rFonts w:ascii="仿宋" w:eastAsia="仿宋" w:hAnsi="仿宋" w:cs="仿宋" w:hint="eastAsia"/>
          <w:sz w:val="28"/>
          <w:szCs w:val="28"/>
        </w:rPr>
        <w:t>2422</w:t>
      </w:r>
      <w:r>
        <w:rPr>
          <w:rFonts w:ascii="仿宋" w:eastAsia="仿宋" w:hAnsi="仿宋" w:cs="仿宋" w:hint="eastAsia"/>
          <w:sz w:val="28"/>
          <w:szCs w:val="28"/>
        </w:rPr>
        <w:t>万元。</w:t>
      </w:r>
    </w:p>
    <w:p w:rsidR="00466517" w:rsidRPr="007B5015" w:rsidRDefault="00466517" w:rsidP="00466517">
      <w:pPr>
        <w:pStyle w:val="a3"/>
        <w:numPr>
          <w:ilvl w:val="0"/>
          <w:numId w:val="4"/>
        </w:numPr>
        <w:spacing w:before="0" w:beforeAutospacing="0" w:after="0" w:afterAutospacing="0"/>
        <w:rPr>
          <w:rFonts w:ascii="仿宋" w:eastAsia="仿宋" w:hAnsi="仿宋" w:cs="仿宋"/>
          <w:sz w:val="28"/>
          <w:szCs w:val="28"/>
        </w:rPr>
      </w:pPr>
      <w:r>
        <w:rPr>
          <w:rFonts w:ascii="仿宋" w:eastAsia="仿宋" w:hAnsi="仿宋" w:cs="仿宋" w:hint="eastAsia"/>
          <w:sz w:val="28"/>
          <w:szCs w:val="28"/>
        </w:rPr>
        <w:t>20</w:t>
      </w:r>
      <w:r w:rsidR="007B5015">
        <w:rPr>
          <w:rFonts w:ascii="仿宋" w:eastAsia="仿宋" w:hAnsi="仿宋" w:cs="仿宋" w:hint="eastAsia"/>
          <w:sz w:val="28"/>
          <w:szCs w:val="28"/>
        </w:rPr>
        <w:t>20</w:t>
      </w:r>
      <w:r w:rsidRPr="007B5015">
        <w:rPr>
          <w:rFonts w:ascii="仿宋" w:eastAsia="仿宋" w:hAnsi="仿宋" w:cs="仿宋" w:hint="eastAsia"/>
          <w:sz w:val="28"/>
          <w:szCs w:val="28"/>
        </w:rPr>
        <w:t>年度“三公”经费支出决算为</w:t>
      </w:r>
      <w:r w:rsidR="007B5015">
        <w:rPr>
          <w:rFonts w:ascii="仿宋" w:eastAsia="仿宋" w:hAnsi="仿宋" w:cs="仿宋" w:hint="eastAsia"/>
          <w:sz w:val="28"/>
          <w:szCs w:val="28"/>
        </w:rPr>
        <w:t>2.05</w:t>
      </w:r>
      <w:r w:rsidRPr="007B5015">
        <w:rPr>
          <w:rFonts w:ascii="仿宋" w:eastAsia="仿宋" w:hAnsi="仿宋" w:cs="仿宋" w:hint="eastAsia"/>
          <w:sz w:val="28"/>
          <w:szCs w:val="28"/>
        </w:rPr>
        <w:t>万元。其中：公务用车购置及运行费</w:t>
      </w:r>
      <w:r w:rsidR="007B5015">
        <w:rPr>
          <w:rFonts w:ascii="仿宋" w:eastAsia="仿宋" w:hAnsi="仿宋" w:cs="仿宋" w:hint="eastAsia"/>
          <w:sz w:val="28"/>
          <w:szCs w:val="28"/>
        </w:rPr>
        <w:t>0</w:t>
      </w:r>
      <w:r w:rsidRPr="007B5015">
        <w:rPr>
          <w:rFonts w:ascii="仿宋" w:eastAsia="仿宋" w:hAnsi="仿宋" w:cs="仿宋" w:hint="eastAsia"/>
          <w:sz w:val="28"/>
          <w:szCs w:val="28"/>
        </w:rPr>
        <w:t>万元，公务接待费</w:t>
      </w:r>
      <w:r w:rsidR="007B5015">
        <w:rPr>
          <w:rFonts w:ascii="仿宋" w:eastAsia="仿宋" w:hAnsi="仿宋" w:cs="仿宋" w:hint="eastAsia"/>
          <w:sz w:val="28"/>
          <w:szCs w:val="28"/>
        </w:rPr>
        <w:t>2.05</w:t>
      </w:r>
      <w:r w:rsidRPr="007B5015">
        <w:rPr>
          <w:rFonts w:ascii="仿宋" w:eastAsia="仿宋" w:hAnsi="仿宋" w:cs="仿宋" w:hint="eastAsia"/>
          <w:sz w:val="28"/>
          <w:szCs w:val="28"/>
        </w:rPr>
        <w:t>万元。实现了三公经费逐年减少。</w:t>
      </w:r>
    </w:p>
    <w:p w:rsidR="00466517" w:rsidRDefault="00466517" w:rsidP="00466517">
      <w:pPr>
        <w:pStyle w:val="a3"/>
        <w:spacing w:before="0" w:beforeAutospacing="0" w:after="0" w:afterAutospacing="0"/>
        <w:rPr>
          <w:rFonts w:ascii="仿宋" w:eastAsia="仿宋" w:hAnsi="仿宋" w:cs="仿宋"/>
          <w:b/>
          <w:bCs/>
          <w:sz w:val="30"/>
          <w:szCs w:val="30"/>
        </w:rPr>
      </w:pPr>
      <w:r>
        <w:rPr>
          <w:rFonts w:ascii="仿宋" w:eastAsia="仿宋" w:hAnsi="仿宋" w:cs="仿宋" w:hint="eastAsia"/>
          <w:b/>
          <w:bCs/>
          <w:sz w:val="30"/>
          <w:szCs w:val="30"/>
        </w:rPr>
        <w:t>（五）财务管理状况</w:t>
      </w:r>
    </w:p>
    <w:p w:rsidR="00466517" w:rsidRDefault="00466517" w:rsidP="00466517">
      <w:pPr>
        <w:pStyle w:val="a3"/>
        <w:spacing w:before="0" w:beforeAutospacing="0" w:after="0" w:afterAutospacing="0"/>
        <w:ind w:firstLineChars="200" w:firstLine="560"/>
        <w:rPr>
          <w:rFonts w:ascii="仿宋" w:eastAsia="仿宋" w:hAnsi="仿宋" w:cs="仿宋"/>
          <w:sz w:val="28"/>
          <w:szCs w:val="28"/>
        </w:rPr>
      </w:pPr>
      <w:r>
        <w:rPr>
          <w:rFonts w:ascii="仿宋" w:eastAsia="仿宋" w:hAnsi="仿宋" w:cs="仿宋" w:hint="eastAsia"/>
          <w:sz w:val="28"/>
          <w:szCs w:val="28"/>
        </w:rPr>
        <w:t>一是制定了健全的财务管理制度。20</w:t>
      </w:r>
      <w:r w:rsidR="007B5015">
        <w:rPr>
          <w:rFonts w:ascii="仿宋" w:eastAsia="仿宋" w:hAnsi="仿宋" w:cs="仿宋" w:hint="eastAsia"/>
          <w:sz w:val="28"/>
          <w:szCs w:val="28"/>
        </w:rPr>
        <w:t>20</w:t>
      </w:r>
      <w:r>
        <w:rPr>
          <w:rFonts w:ascii="仿宋" w:eastAsia="仿宋" w:hAnsi="仿宋" w:cs="仿宋" w:hint="eastAsia"/>
          <w:sz w:val="28"/>
          <w:szCs w:val="28"/>
        </w:rPr>
        <w:t>年，资阳区发改局在区财政部门的指导下制定了《资阳区发改局预算管理制度》、《资阳区发改局收支管理制度》、《资阳区发改局政府采购制度》、《资阳区发改局物品管理制度》、《资阳区发改局现金管理制度》、</w:t>
      </w:r>
      <w:r>
        <w:rPr>
          <w:rFonts w:ascii="仿宋" w:eastAsia="仿宋" w:hAnsi="仿宋" w:cs="仿宋" w:hint="eastAsia"/>
          <w:sz w:val="28"/>
          <w:szCs w:val="28"/>
        </w:rPr>
        <w:lastRenderedPageBreak/>
        <w:t>《资阳区发改局费用报批制度》等一系列规范的财务管理制度；二是严格按照各项财务制度抓落实，全年财务工作取得预期目标。</w:t>
      </w:r>
    </w:p>
    <w:p w:rsidR="00466517" w:rsidRDefault="00466517" w:rsidP="00466517">
      <w:pPr>
        <w:pStyle w:val="a3"/>
        <w:spacing w:before="0" w:beforeAutospacing="0" w:after="0" w:afterAutospacing="0"/>
        <w:rPr>
          <w:rFonts w:ascii="仿宋" w:eastAsia="仿宋" w:hAnsi="仿宋" w:cs="仿宋"/>
          <w:sz w:val="28"/>
          <w:szCs w:val="28"/>
        </w:rPr>
      </w:pPr>
      <w:r>
        <w:rPr>
          <w:rFonts w:ascii="仿宋" w:eastAsia="仿宋" w:hAnsi="仿宋" w:cs="仿宋" w:hint="eastAsia"/>
          <w:b/>
          <w:bCs/>
          <w:sz w:val="30"/>
          <w:szCs w:val="30"/>
        </w:rPr>
        <w:t>（六）预算管理情况 </w:t>
      </w:r>
      <w:r>
        <w:rPr>
          <w:rFonts w:ascii="仿宋" w:eastAsia="仿宋" w:hAnsi="仿宋" w:cs="仿宋" w:hint="eastAsia"/>
          <w:sz w:val="28"/>
          <w:szCs w:val="28"/>
        </w:rPr>
        <w:br/>
        <w:t xml:space="preserve">　　20</w:t>
      </w:r>
      <w:r w:rsidR="007B5015">
        <w:rPr>
          <w:rFonts w:ascii="仿宋" w:eastAsia="仿宋" w:hAnsi="仿宋" w:cs="仿宋" w:hint="eastAsia"/>
          <w:sz w:val="28"/>
          <w:szCs w:val="28"/>
        </w:rPr>
        <w:t>20</w:t>
      </w:r>
      <w:r>
        <w:rPr>
          <w:rFonts w:ascii="仿宋" w:eastAsia="仿宋" w:hAnsi="仿宋" w:cs="仿宋" w:hint="eastAsia"/>
          <w:sz w:val="28"/>
          <w:szCs w:val="28"/>
        </w:rPr>
        <w:t>年，为进一步加强预算资金的管理，严格预算执行，提高财政资金的使用效益，我局重点开展了以下几方面的工作： </w:t>
      </w:r>
      <w:r>
        <w:rPr>
          <w:rFonts w:ascii="仿宋" w:eastAsia="仿宋" w:hAnsi="仿宋" w:cs="仿宋" w:hint="eastAsia"/>
          <w:sz w:val="28"/>
          <w:szCs w:val="28"/>
        </w:rPr>
        <w:br/>
        <w:t xml:space="preserve">　　1、完善制度。一是我局在20</w:t>
      </w:r>
      <w:r w:rsidR="007B5015">
        <w:rPr>
          <w:rFonts w:ascii="仿宋" w:eastAsia="仿宋" w:hAnsi="仿宋" w:cs="仿宋" w:hint="eastAsia"/>
          <w:sz w:val="28"/>
          <w:szCs w:val="28"/>
        </w:rPr>
        <w:t>20</w:t>
      </w:r>
      <w:r>
        <w:rPr>
          <w:rFonts w:ascii="仿宋" w:eastAsia="仿宋" w:hAnsi="仿宋" w:cs="仿宋" w:hint="eastAsia"/>
          <w:sz w:val="28"/>
          <w:szCs w:val="28"/>
        </w:rPr>
        <w:t>年积极推动单位内部控制建设，制定了《单位内部控制制度》。二是对机关公务接待、因公出差、会议、培训等费用报账进行了规范。 </w:t>
      </w:r>
      <w:r>
        <w:rPr>
          <w:rFonts w:ascii="仿宋" w:eastAsia="仿宋" w:hAnsi="仿宋" w:cs="仿宋" w:hint="eastAsia"/>
          <w:sz w:val="28"/>
          <w:szCs w:val="28"/>
        </w:rPr>
        <w:br/>
        <w:t xml:space="preserve">　　2、严控支出。我局严格执行财务预算和财务管理制度，“三公”经费控制有序。年初按预算，制定年度支出计划，执行中严格支出程序，做到先有预算、后有开支，不得随意调整。 </w:t>
      </w:r>
      <w:r>
        <w:rPr>
          <w:rFonts w:ascii="仿宋" w:eastAsia="仿宋" w:hAnsi="仿宋" w:cs="仿宋" w:hint="eastAsia"/>
          <w:sz w:val="28"/>
          <w:szCs w:val="28"/>
        </w:rPr>
        <w:br/>
        <w:t xml:space="preserve">　　3、规范管理。对于局经费支出，明确审批权限，对每项支出都制定了专门的审批程序，严格按照审批制度执行，重大开支经局党组集体研究；积极推行公务卡结算，外出调研培训等均使用公务卡开支费用；设备购置及向社会购买服务一律履行政府采购程序，办公用品采取集中定点采购；会议费、差旅费、培训费和“三公经费”坚决按相关文件规定执行，完善审批、预算手续，做到附件依据齐全，杜绝一切超标准、超预算的开支；加强非税收入管理，严格执行收支两条线；加强监督检查，由办公室牵头，各股室、二级机构配合，做好机关财务自查自审，发现问题及时制定措施组织整改。 </w:t>
      </w:r>
      <w:r>
        <w:rPr>
          <w:rFonts w:ascii="仿宋" w:eastAsia="仿宋" w:hAnsi="仿宋" w:cs="仿宋" w:hint="eastAsia"/>
          <w:sz w:val="28"/>
          <w:szCs w:val="28"/>
        </w:rPr>
        <w:br/>
        <w:t xml:space="preserve">　　积极推进局机关经费公开，自觉接受监督。我局按照要求在局</w:t>
      </w:r>
      <w:r>
        <w:rPr>
          <w:rFonts w:ascii="仿宋" w:eastAsia="仿宋" w:hAnsi="仿宋" w:cs="仿宋" w:hint="eastAsia"/>
          <w:sz w:val="28"/>
          <w:szCs w:val="28"/>
        </w:rPr>
        <w:lastRenderedPageBreak/>
        <w:t>网站及时公开了部门预、决算和“三公经费”支出情况，做到了公开透明。通过这一系列措施，确保了我局预算管理的规范性。 </w:t>
      </w:r>
    </w:p>
    <w:p w:rsidR="00466517" w:rsidRDefault="00466517" w:rsidP="00466517">
      <w:pPr>
        <w:pStyle w:val="a3"/>
        <w:spacing w:before="0" w:beforeAutospacing="0" w:after="0" w:afterAutospacing="0"/>
        <w:rPr>
          <w:rFonts w:ascii="仿宋" w:eastAsia="仿宋" w:hAnsi="仿宋" w:cs="仿宋"/>
          <w:b/>
          <w:bCs/>
          <w:sz w:val="32"/>
          <w:szCs w:val="32"/>
        </w:rPr>
      </w:pPr>
      <w:r>
        <w:rPr>
          <w:rFonts w:ascii="仿宋" w:eastAsia="仿宋" w:hAnsi="仿宋" w:cs="仿宋" w:hint="eastAsia"/>
          <w:b/>
          <w:bCs/>
          <w:sz w:val="32"/>
          <w:szCs w:val="32"/>
        </w:rPr>
        <w:t>二、部门专项资金组织实施情况</w:t>
      </w:r>
    </w:p>
    <w:p w:rsidR="00466517" w:rsidRDefault="00466517" w:rsidP="00466517">
      <w:pPr>
        <w:pStyle w:val="a3"/>
        <w:spacing w:before="0" w:beforeAutospacing="0" w:after="0" w:afterAutospacing="0"/>
        <w:ind w:firstLineChars="200" w:firstLine="602"/>
        <w:rPr>
          <w:rFonts w:ascii="仿宋" w:eastAsia="仿宋" w:hAnsi="仿宋" w:cs="仿宋"/>
          <w:b/>
          <w:bCs/>
          <w:sz w:val="30"/>
          <w:szCs w:val="30"/>
        </w:rPr>
      </w:pPr>
      <w:r>
        <w:rPr>
          <w:rFonts w:ascii="仿宋" w:eastAsia="仿宋" w:hAnsi="仿宋" w:cs="仿宋" w:hint="eastAsia"/>
          <w:b/>
          <w:bCs/>
          <w:sz w:val="30"/>
          <w:szCs w:val="30"/>
        </w:rPr>
        <w:t>（一）专项资金支出情况</w:t>
      </w:r>
    </w:p>
    <w:p w:rsidR="00466517" w:rsidRDefault="00466517" w:rsidP="00466517">
      <w:pPr>
        <w:pStyle w:val="a3"/>
        <w:spacing w:before="0" w:beforeAutospacing="0" w:after="0" w:afterAutospacing="0"/>
        <w:ind w:firstLineChars="200" w:firstLine="560"/>
        <w:rPr>
          <w:rFonts w:ascii="仿宋" w:eastAsia="仿宋" w:hAnsi="仿宋" w:cs="仿宋"/>
          <w:sz w:val="28"/>
          <w:szCs w:val="28"/>
        </w:rPr>
      </w:pPr>
      <w:r>
        <w:rPr>
          <w:rFonts w:ascii="仿宋" w:eastAsia="仿宋" w:hAnsi="仿宋" w:cs="仿宋" w:hint="eastAsia"/>
          <w:sz w:val="28"/>
          <w:szCs w:val="28"/>
        </w:rPr>
        <w:t>20</w:t>
      </w:r>
      <w:r w:rsidR="007B5015">
        <w:rPr>
          <w:rFonts w:ascii="仿宋" w:eastAsia="仿宋" w:hAnsi="仿宋" w:cs="仿宋" w:hint="eastAsia"/>
          <w:sz w:val="28"/>
          <w:szCs w:val="28"/>
        </w:rPr>
        <w:t>20</w:t>
      </w:r>
      <w:r>
        <w:rPr>
          <w:rFonts w:ascii="仿宋" w:eastAsia="仿宋" w:hAnsi="仿宋" w:cs="仿宋" w:hint="eastAsia"/>
          <w:sz w:val="28"/>
          <w:szCs w:val="28"/>
        </w:rPr>
        <w:t>年，资阳区发改局专项资金总共支出</w:t>
      </w:r>
      <w:r w:rsidR="007B5015">
        <w:rPr>
          <w:rFonts w:ascii="仿宋" w:eastAsia="仿宋" w:hAnsi="仿宋" w:cs="仿宋" w:hint="eastAsia"/>
          <w:sz w:val="28"/>
          <w:szCs w:val="28"/>
        </w:rPr>
        <w:t>2422</w:t>
      </w:r>
      <w:r>
        <w:rPr>
          <w:rFonts w:ascii="仿宋" w:eastAsia="仿宋" w:hAnsi="仿宋" w:cs="仿宋" w:hint="eastAsia"/>
          <w:sz w:val="28"/>
          <w:szCs w:val="28"/>
        </w:rPr>
        <w:t xml:space="preserve">万元，占全部支出的 </w:t>
      </w:r>
      <w:r w:rsidR="007B5015">
        <w:rPr>
          <w:rFonts w:ascii="仿宋" w:eastAsia="仿宋" w:hAnsi="仿宋" w:cs="仿宋" w:hint="eastAsia"/>
          <w:sz w:val="28"/>
          <w:szCs w:val="28"/>
        </w:rPr>
        <w:t>73.8</w:t>
      </w:r>
      <w:r>
        <w:rPr>
          <w:rFonts w:ascii="仿宋" w:eastAsia="仿宋" w:hAnsi="仿宋" w:cs="仿宋" w:hint="eastAsia"/>
          <w:sz w:val="28"/>
          <w:szCs w:val="28"/>
        </w:rPr>
        <w:t xml:space="preserve"> %。具体为</w:t>
      </w:r>
      <w:r w:rsidR="00811EB4">
        <w:rPr>
          <w:rFonts w:ascii="仿宋" w:eastAsia="仿宋" w:hAnsi="仿宋" w:cs="仿宋" w:hint="eastAsia"/>
          <w:sz w:val="28"/>
          <w:szCs w:val="28"/>
        </w:rPr>
        <w:t>粮食安全专项资金、超标粮专损和利费补贴、</w:t>
      </w:r>
      <w:r>
        <w:rPr>
          <w:rFonts w:ascii="仿宋" w:eastAsia="仿宋" w:hAnsi="仿宋" w:cs="仿宋" w:hint="eastAsia"/>
          <w:sz w:val="28"/>
          <w:szCs w:val="28"/>
        </w:rPr>
        <w:t>农村基础设施建设资金、区立项争资工作经费支出、区节能降耗工作经费支出、区涉农资金整合办工作经费支出、区两型办工作经费支出、区益沅桃城镇群建设工作经费支出和区易地扶贫搬迁工作经费支出。</w:t>
      </w:r>
    </w:p>
    <w:p w:rsidR="00466517" w:rsidRDefault="00466517" w:rsidP="00466517">
      <w:pPr>
        <w:pStyle w:val="a3"/>
        <w:spacing w:before="0" w:beforeAutospacing="0" w:after="0" w:afterAutospacing="0"/>
        <w:ind w:firstLineChars="200" w:firstLine="562"/>
        <w:rPr>
          <w:rFonts w:ascii="仿宋" w:eastAsia="仿宋" w:hAnsi="仿宋" w:cs="仿宋"/>
          <w:b/>
          <w:bCs/>
          <w:sz w:val="28"/>
          <w:szCs w:val="28"/>
        </w:rPr>
      </w:pPr>
      <w:r>
        <w:rPr>
          <w:rFonts w:ascii="仿宋" w:eastAsia="仿宋" w:hAnsi="仿宋" w:cs="仿宋" w:hint="eastAsia"/>
          <w:b/>
          <w:bCs/>
          <w:sz w:val="28"/>
          <w:szCs w:val="28"/>
        </w:rPr>
        <w:t>（二）专项资金管理情况</w:t>
      </w:r>
    </w:p>
    <w:p w:rsidR="00466517" w:rsidRDefault="00466517" w:rsidP="00466517">
      <w:pPr>
        <w:pStyle w:val="a3"/>
        <w:spacing w:before="0" w:beforeAutospacing="0" w:after="0" w:afterAutospacing="0"/>
        <w:ind w:firstLineChars="200" w:firstLine="560"/>
        <w:rPr>
          <w:rFonts w:ascii="仿宋" w:eastAsia="仿宋" w:hAnsi="仿宋" w:cs="仿宋"/>
          <w:sz w:val="28"/>
          <w:szCs w:val="28"/>
        </w:rPr>
      </w:pPr>
      <w:r>
        <w:rPr>
          <w:rFonts w:ascii="仿宋" w:eastAsia="仿宋" w:hAnsi="仿宋" w:cs="仿宋" w:hint="eastAsia"/>
          <w:sz w:val="28"/>
          <w:szCs w:val="28"/>
        </w:rPr>
        <w:t>20</w:t>
      </w:r>
      <w:r w:rsidR="00612DCD">
        <w:rPr>
          <w:rFonts w:ascii="仿宋" w:eastAsia="仿宋" w:hAnsi="仿宋" w:cs="仿宋" w:hint="eastAsia"/>
          <w:sz w:val="28"/>
          <w:szCs w:val="28"/>
        </w:rPr>
        <w:t>20</w:t>
      </w:r>
      <w:r>
        <w:rPr>
          <w:rFonts w:ascii="仿宋" w:eastAsia="仿宋" w:hAnsi="仿宋" w:cs="仿宋" w:hint="eastAsia"/>
          <w:sz w:val="28"/>
          <w:szCs w:val="28"/>
        </w:rPr>
        <w:t>年，我局严格按照年初预算使用专项经费，做到了专款专用。</w:t>
      </w:r>
    </w:p>
    <w:p w:rsidR="00466517" w:rsidRDefault="00466517" w:rsidP="00466517">
      <w:pPr>
        <w:pStyle w:val="a3"/>
        <w:spacing w:before="0" w:beforeAutospacing="0" w:after="0" w:afterAutospacing="0"/>
        <w:ind w:firstLineChars="200" w:firstLine="562"/>
        <w:rPr>
          <w:rFonts w:ascii="仿宋" w:eastAsia="仿宋" w:hAnsi="仿宋" w:cs="仿宋"/>
          <w:b/>
          <w:bCs/>
          <w:sz w:val="28"/>
          <w:szCs w:val="28"/>
        </w:rPr>
      </w:pPr>
      <w:r>
        <w:rPr>
          <w:rFonts w:ascii="仿宋" w:eastAsia="仿宋" w:hAnsi="仿宋" w:cs="仿宋" w:hint="eastAsia"/>
          <w:b/>
          <w:bCs/>
          <w:sz w:val="28"/>
          <w:szCs w:val="28"/>
        </w:rPr>
        <w:t>（三）专项资金支出绩效情况</w:t>
      </w:r>
    </w:p>
    <w:p w:rsidR="00612DCD" w:rsidRPr="00612DCD" w:rsidRDefault="00612DCD" w:rsidP="00612DCD">
      <w:pPr>
        <w:ind w:firstLineChars="200" w:firstLine="560"/>
        <w:rPr>
          <w:rFonts w:ascii="仿宋" w:eastAsia="仿宋" w:hAnsi="仿宋" w:cs="仿宋"/>
          <w:bCs/>
          <w:sz w:val="28"/>
          <w:szCs w:val="28"/>
        </w:rPr>
      </w:pPr>
      <w:r>
        <w:rPr>
          <w:rFonts w:ascii="仿宋" w:eastAsia="仿宋" w:hAnsi="仿宋" w:cs="仿宋" w:hint="eastAsia"/>
          <w:bCs/>
          <w:sz w:val="28"/>
          <w:szCs w:val="28"/>
        </w:rPr>
        <w:t>1、</w:t>
      </w:r>
      <w:r w:rsidRPr="00612DCD">
        <w:rPr>
          <w:rFonts w:ascii="仿宋" w:eastAsia="仿宋" w:hAnsi="仿宋" w:cs="仿宋" w:hint="eastAsia"/>
          <w:bCs/>
          <w:sz w:val="28"/>
          <w:szCs w:val="28"/>
        </w:rPr>
        <w:t>全区立项争资总目标任务是31.5亿元。其中，中央资金16.45亿元、省级资金9.94亿元，市级资金6.76亿元,分别占全区资金的49.6%、30%、20.4 %。</w:t>
      </w:r>
    </w:p>
    <w:p w:rsidR="00612DCD" w:rsidRPr="00612DCD" w:rsidRDefault="00466517" w:rsidP="00612DCD">
      <w:pPr>
        <w:ind w:firstLineChars="200" w:firstLine="560"/>
        <w:rPr>
          <w:rFonts w:ascii="仿宋" w:eastAsia="仿宋" w:hAnsi="仿宋" w:cs="仿宋"/>
          <w:bCs/>
          <w:sz w:val="28"/>
          <w:szCs w:val="28"/>
        </w:rPr>
      </w:pPr>
      <w:r>
        <w:rPr>
          <w:rFonts w:ascii="仿宋" w:eastAsia="仿宋" w:hAnsi="仿宋" w:cs="仿宋" w:hint="eastAsia"/>
          <w:bCs/>
          <w:sz w:val="28"/>
          <w:szCs w:val="28"/>
        </w:rPr>
        <w:t xml:space="preserve">2. </w:t>
      </w:r>
      <w:r w:rsidR="00612DCD">
        <w:rPr>
          <w:rFonts w:ascii="仿宋" w:eastAsia="仿宋" w:hAnsi="仿宋" w:cs="仿宋" w:hint="eastAsia"/>
          <w:bCs/>
          <w:sz w:val="28"/>
          <w:szCs w:val="28"/>
        </w:rPr>
        <w:t>优化营商环境方面，</w:t>
      </w:r>
      <w:r w:rsidR="00612DCD" w:rsidRPr="00612DCD">
        <w:rPr>
          <w:rFonts w:ascii="仿宋" w:eastAsia="仿宋" w:hAnsi="仿宋" w:cs="仿宋" w:hint="eastAsia"/>
          <w:bCs/>
          <w:sz w:val="28"/>
          <w:szCs w:val="28"/>
        </w:rPr>
        <w:t>一是坚持高位推动。成立了以区委书记为组长的高规格营商环境大优化行动领导小组，出台了《益阳市资阳区营商环境大优化行动方案》，并结合资阳实际，细化目标任务，明确责任，制定具体措施抓好落实。二是狠抓任务落实。建立了《资阳区营商环境大优化行动重点任务台账》，进行月调度；梳理</w:t>
      </w:r>
      <w:r w:rsidR="00612DCD" w:rsidRPr="00612DCD">
        <w:rPr>
          <w:rFonts w:ascii="仿宋" w:eastAsia="仿宋" w:hAnsi="仿宋" w:cs="仿宋" w:hint="eastAsia"/>
          <w:bCs/>
          <w:sz w:val="28"/>
          <w:szCs w:val="28"/>
        </w:rPr>
        <w:lastRenderedPageBreak/>
        <w:t>2019年度经济发展环境满意度测评暨“优化营商环境执行年”百项痛点堵点问题，并进行专项整改；制定下发了《关于做好2020年涉企检查备案工作的通知》；进一步优化全区营商环境，组织营商环境专题培训会议，进行营商环境实地调查，对企业诉求制定相应措施，收集筛选了我区2020年营商环境评价备选样本名单，并完成了营商评价工作。在全市开展的2020年上半年优化经济发展环境满意度监督测评中我区优化经济发展环境满意度排名第二。三是加强专项督查。开展了支持企业复工复产政策落实情况专项督查，汇总落实情况并及时向上级优办做了反馈，完善督查机制；对我区政务服务中心办事窗口是否落实“一件事一次办”、“一站式”服务、一网通办等优化政务服务的改革措施进行了全面排查，对排查出的问题进行了整改。四是加强《条例》宣传教育。为认真贯彻落实国务院《优化营商环境条例》在我区执行，进行了专题工作安排和布署。对区工信局、区住建局、区民政局等16个部门单位与营商环境条例相关文件进行了清理；根据《关于复制推广借鉴京沪两地改革举措推动我市营商环境持续优化的通知》文件要求，对相关部门的工作经验进行了梳理、推广；协调区相关部门将《条例》纳入2020年资阳区普法依法治理工作要点和各级各部门党委（组）中心组学习内容。</w:t>
      </w:r>
    </w:p>
    <w:p w:rsidR="00466517" w:rsidRDefault="00466517" w:rsidP="00466517">
      <w:pPr>
        <w:ind w:firstLineChars="200" w:firstLine="560"/>
        <w:rPr>
          <w:rFonts w:ascii="仿宋" w:eastAsia="仿宋" w:hAnsi="仿宋" w:cs="仿宋"/>
          <w:bCs/>
          <w:sz w:val="28"/>
          <w:szCs w:val="28"/>
        </w:rPr>
      </w:pPr>
      <w:r>
        <w:rPr>
          <w:rFonts w:ascii="仿宋" w:eastAsia="仿宋" w:hAnsi="仿宋" w:cs="仿宋" w:hint="eastAsia"/>
          <w:bCs/>
          <w:sz w:val="28"/>
          <w:szCs w:val="28"/>
        </w:rPr>
        <w:t>3.在推</w:t>
      </w:r>
      <w:r>
        <w:rPr>
          <w:rFonts w:ascii="仿宋" w:eastAsia="仿宋" w:hAnsi="仿宋" w:cs="仿宋" w:hint="eastAsia"/>
          <w:color w:val="000000"/>
          <w:sz w:val="28"/>
          <w:szCs w:val="28"/>
        </w:rPr>
        <w:t>进洞庭湖生态经济区建设工作中，</w:t>
      </w:r>
      <w:r>
        <w:rPr>
          <w:rFonts w:ascii="仿宋" w:eastAsia="仿宋" w:hAnsi="仿宋" w:cs="仿宋" w:hint="eastAsia"/>
          <w:bCs/>
          <w:sz w:val="28"/>
          <w:szCs w:val="28"/>
        </w:rPr>
        <w:t>一是抓好基础性工作。区政府办已印发《益阳市资阳区洞庭湖生态环境专项整治三年行动计划2019年重点工作任务》，各项重点工作已确定量化指标，每月调度、协调推进，重点实施黄家湖片区的相关治理工作。二是配合</w:t>
      </w:r>
      <w:r>
        <w:rPr>
          <w:rFonts w:ascii="仿宋" w:eastAsia="仿宋" w:hAnsi="仿宋" w:cs="仿宋" w:hint="eastAsia"/>
          <w:bCs/>
          <w:sz w:val="28"/>
          <w:szCs w:val="28"/>
        </w:rPr>
        <w:lastRenderedPageBreak/>
        <w:t>省市两级洞庭办完成了《洞庭湖条例》的立法调研工作。三是积极争取项目资金。争取2019年重点流域水环境综合治理中央预算内资金1785万、2019年洞庭湖生态经济区建设专项资金340万元。目前正在积极申报2020年重点流域水环境综合治理中央预算内资金。</w:t>
      </w:r>
    </w:p>
    <w:p w:rsidR="00466517" w:rsidRPr="00612DCD" w:rsidRDefault="00466517" w:rsidP="00612DCD">
      <w:pPr>
        <w:ind w:firstLineChars="200" w:firstLine="560"/>
        <w:rPr>
          <w:rFonts w:ascii="仿宋" w:eastAsia="仿宋" w:hAnsi="仿宋" w:cs="仿宋"/>
          <w:bCs/>
          <w:sz w:val="28"/>
          <w:szCs w:val="28"/>
        </w:rPr>
      </w:pPr>
      <w:r>
        <w:rPr>
          <w:rFonts w:ascii="仿宋" w:eastAsia="仿宋" w:hAnsi="仿宋" w:cs="仿宋" w:hint="eastAsia"/>
          <w:bCs/>
          <w:sz w:val="28"/>
          <w:szCs w:val="28"/>
        </w:rPr>
        <w:t>4.</w:t>
      </w:r>
      <w:r w:rsidR="00612DCD">
        <w:rPr>
          <w:rFonts w:ascii="仿宋" w:eastAsia="仿宋" w:hAnsi="仿宋" w:cs="仿宋"/>
          <w:bCs/>
          <w:sz w:val="28"/>
          <w:szCs w:val="28"/>
        </w:rPr>
        <w:t xml:space="preserve"> </w:t>
      </w:r>
      <w:r w:rsidR="00612DCD">
        <w:rPr>
          <w:rFonts w:ascii="仿宋" w:eastAsia="仿宋" w:hAnsi="仿宋" w:cs="仿宋" w:hint="eastAsia"/>
          <w:bCs/>
          <w:sz w:val="28"/>
          <w:szCs w:val="28"/>
        </w:rPr>
        <w:t>易地扶贫搬迁工作方面，</w:t>
      </w:r>
      <w:r w:rsidR="00612DCD" w:rsidRPr="00612DCD">
        <w:rPr>
          <w:rFonts w:ascii="仿宋" w:eastAsia="仿宋" w:hAnsi="仿宋" w:cs="仿宋" w:hint="eastAsia"/>
          <w:bCs/>
          <w:sz w:val="28"/>
          <w:szCs w:val="28"/>
        </w:rPr>
        <w:t>“十三五”时期我区易地扶贫搬迁任务1175户3511人，其中集中安置890户2595人，分散安置285户916人。一是完成了“十三五”时期的搬迁任务，所有搬迁户都已搬迁入住。二是落实了易地扶贫搬迁后续帮扶措施，通过建立扶贫车间、就业技能培训、设立公益性岗位、兜底保障等措施，实现了就业“户清零”。三是强化安置点管理，明确了管理机构和工作场地，开展了扶贫扶志教育，就医、就学、治安和环境卫生等得到了保障。四是全力开展问题整改工作，对上级交办及审计指出的问题，建立整改台账，明确整改时限，确保问题清零。五是办理不动产权登记，对于资料齐全的安置房，按时间节点进行不动产权登记。六是做好“十三五”期间易地扶贫搬迁的宣传工作，拍摄了展示搬迁成果的微视频，通过搬迁前后的生活对比，展现搬迁户生活新面貌。</w:t>
      </w:r>
    </w:p>
    <w:p w:rsidR="00466517" w:rsidRPr="00612DCD" w:rsidRDefault="00466517" w:rsidP="00612DCD">
      <w:pPr>
        <w:ind w:firstLineChars="200" w:firstLine="560"/>
        <w:rPr>
          <w:rFonts w:ascii="仿宋" w:eastAsia="仿宋" w:hAnsi="仿宋" w:cs="仿宋"/>
          <w:bCs/>
          <w:sz w:val="28"/>
          <w:szCs w:val="28"/>
        </w:rPr>
      </w:pPr>
      <w:r>
        <w:rPr>
          <w:rFonts w:ascii="仿宋" w:eastAsia="仿宋" w:hAnsi="仿宋" w:cs="仿宋" w:hint="eastAsia"/>
          <w:bCs/>
          <w:sz w:val="28"/>
          <w:szCs w:val="28"/>
        </w:rPr>
        <w:t>5.粮食安全方面，</w:t>
      </w:r>
      <w:r w:rsidR="00612DCD" w:rsidRPr="00612DCD">
        <w:rPr>
          <w:rFonts w:ascii="仿宋" w:eastAsia="仿宋" w:hAnsi="仿宋" w:cs="仿宋" w:hint="eastAsia"/>
          <w:bCs/>
          <w:sz w:val="28"/>
          <w:szCs w:val="28"/>
        </w:rPr>
        <w:t>一是提高站位谋划。全区高度重视，将粮食安全工作摆到更加突出的位置，高规格成立了粮食收购协调领导小组；区委召开常委会议专题研究，通过了《资阳区2020年粮食收购工作实施方案》与《益阳市资阳区2020年度超标稻谷收购与处置办法》。二是细化收购举措。一方面，强化收购保障。通过旧仓修整、民营企业代储、租赁邻近县（市）区仓库来扩大有效仓容；积极筹</w:t>
      </w:r>
      <w:r w:rsidR="00612DCD" w:rsidRPr="00612DCD">
        <w:rPr>
          <w:rFonts w:ascii="仿宋" w:eastAsia="仿宋" w:hAnsi="仿宋" w:cs="仿宋" w:hint="eastAsia"/>
          <w:bCs/>
          <w:sz w:val="28"/>
          <w:szCs w:val="28"/>
        </w:rPr>
        <w:lastRenderedPageBreak/>
        <w:t>措收购资金，区粮食收储有限责任公司向市农发行申报粮食收购资金贷款；加大对外销粮食市场的日常监测力度。另一方面，做好粮食收购和管控。严格执行粮食溯源制度，统一采购设备，组织收购人员、粮食生产者与经营者进行培训；根据土壤结构、灌溉水源、种植品种等不同因素，对在种稻谷进行田间分块抽样检测，对收割之前的粮情做到心中有数，指导粮食生产者尽可能地分类储存，把检测关卡前移，利于先检后收、分类储存。政府临时储备粮收购工作现已完成，共收储超标粮食1912吨，贷款为447.3万元。没有出现“卖粮难”与负面舆情，收购秩序井然，社会反响良好。同时，严管本地超标粮处置，严防外地超标粮进入。三是推进仓储建设。沙头粮站新建2.5万吨粮食现代物流设施建设项目，已按正常程序在网上填报了项目报建资料并领取了施工许可证，完成1#2#3号平房仓打桩工程，2#3#平房仓标高1米处建设主体工程,初步预计年前2#3#号平房仓主体竣工。马良粮食储备库搬迁工作已与区创鑫公司对接，确定在区食品加工园标准化厂房东侧新建1.5万吨粮食储备仓库和配套设施，已完成初步设计。</w:t>
      </w:r>
    </w:p>
    <w:p w:rsidR="00466517" w:rsidRDefault="00466517" w:rsidP="00466517">
      <w:pPr>
        <w:pStyle w:val="a3"/>
        <w:spacing w:before="0" w:beforeAutospacing="0" w:after="0" w:afterAutospacing="0"/>
        <w:rPr>
          <w:rFonts w:ascii="仿宋" w:eastAsia="仿宋" w:hAnsi="仿宋" w:cs="仿宋"/>
          <w:b/>
          <w:bCs/>
          <w:sz w:val="32"/>
          <w:szCs w:val="32"/>
        </w:rPr>
      </w:pPr>
      <w:r>
        <w:rPr>
          <w:rFonts w:ascii="仿宋" w:eastAsia="仿宋" w:hAnsi="仿宋" w:cs="仿宋" w:hint="eastAsia"/>
          <w:b/>
          <w:bCs/>
          <w:sz w:val="32"/>
          <w:szCs w:val="32"/>
        </w:rPr>
        <w:t>三、总体评价情况</w:t>
      </w:r>
    </w:p>
    <w:p w:rsidR="00466517" w:rsidRDefault="00466517" w:rsidP="00466517">
      <w:pPr>
        <w:ind w:firstLineChars="200" w:firstLine="560"/>
        <w:rPr>
          <w:rFonts w:ascii="仿宋" w:eastAsia="仿宋" w:hAnsi="仿宋" w:cs="仿宋"/>
          <w:bCs/>
          <w:sz w:val="28"/>
          <w:szCs w:val="28"/>
        </w:rPr>
      </w:pPr>
      <w:r>
        <w:rPr>
          <w:rFonts w:ascii="仿宋" w:eastAsia="仿宋" w:hAnsi="仿宋" w:cs="仿宋" w:hint="eastAsia"/>
          <w:bCs/>
          <w:sz w:val="28"/>
          <w:szCs w:val="28"/>
        </w:rPr>
        <w:t>资阳区发改局20</w:t>
      </w:r>
      <w:r w:rsidR="00612DCD">
        <w:rPr>
          <w:rFonts w:ascii="仿宋" w:eastAsia="仿宋" w:hAnsi="仿宋" w:cs="仿宋" w:hint="eastAsia"/>
          <w:bCs/>
          <w:sz w:val="28"/>
          <w:szCs w:val="28"/>
        </w:rPr>
        <w:t>20</w:t>
      </w:r>
      <w:r>
        <w:rPr>
          <w:rFonts w:ascii="仿宋" w:eastAsia="仿宋" w:hAnsi="仿宋" w:cs="仿宋" w:hint="eastAsia"/>
          <w:bCs/>
          <w:sz w:val="28"/>
          <w:szCs w:val="28"/>
        </w:rPr>
        <w:t>年部门整体支出情况自评结论为优秀。</w:t>
      </w:r>
    </w:p>
    <w:bookmarkEnd w:id="0"/>
    <w:p w:rsidR="004358AB" w:rsidRPr="00466517" w:rsidRDefault="004358AB" w:rsidP="00323B43"/>
    <w:sectPr w:rsidR="004358AB" w:rsidRPr="00466517" w:rsidSect="0084665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4CCC" w:rsidRDefault="001C4CCC" w:rsidP="00E548B1">
      <w:r>
        <w:separator/>
      </w:r>
    </w:p>
  </w:endnote>
  <w:endnote w:type="continuationSeparator" w:id="1">
    <w:p w:rsidR="001C4CCC" w:rsidRDefault="001C4CCC" w:rsidP="00E548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ź�">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4CCC" w:rsidRDefault="001C4CCC" w:rsidP="00E548B1">
      <w:r>
        <w:separator/>
      </w:r>
    </w:p>
  </w:footnote>
  <w:footnote w:type="continuationSeparator" w:id="1">
    <w:p w:rsidR="001C4CCC" w:rsidRDefault="001C4CCC" w:rsidP="00E548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30FBB6"/>
    <w:multiLevelType w:val="singleLevel"/>
    <w:tmpl w:val="9430FBB6"/>
    <w:lvl w:ilvl="0">
      <w:start w:val="1"/>
      <w:numFmt w:val="chineseCounting"/>
      <w:suff w:val="nothing"/>
      <w:lvlText w:val="%1、"/>
      <w:lvlJc w:val="left"/>
      <w:rPr>
        <w:rFonts w:hint="eastAsia"/>
      </w:rPr>
    </w:lvl>
  </w:abstractNum>
  <w:abstractNum w:abstractNumId="1">
    <w:nsid w:val="CF5B014F"/>
    <w:multiLevelType w:val="singleLevel"/>
    <w:tmpl w:val="CF5B014F"/>
    <w:lvl w:ilvl="0">
      <w:start w:val="1"/>
      <w:numFmt w:val="chineseCounting"/>
      <w:suff w:val="nothing"/>
      <w:lvlText w:val="（%1）"/>
      <w:lvlJc w:val="left"/>
      <w:rPr>
        <w:rFonts w:hint="eastAsia"/>
      </w:rPr>
    </w:lvl>
  </w:abstractNum>
  <w:abstractNum w:abstractNumId="2">
    <w:nsid w:val="F246A1A5"/>
    <w:multiLevelType w:val="singleLevel"/>
    <w:tmpl w:val="F246A1A5"/>
    <w:lvl w:ilvl="0">
      <w:start w:val="2"/>
      <w:numFmt w:val="decimal"/>
      <w:suff w:val="space"/>
      <w:lvlText w:val="%1."/>
      <w:lvlJc w:val="left"/>
    </w:lvl>
  </w:abstractNum>
  <w:abstractNum w:abstractNumId="3">
    <w:nsid w:val="FB956BBD"/>
    <w:multiLevelType w:val="singleLevel"/>
    <w:tmpl w:val="FB956BBD"/>
    <w:lvl w:ilvl="0">
      <w:start w:val="1"/>
      <w:numFmt w:val="decimal"/>
      <w:suff w:val="space"/>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4098"/>
  </w:hdrShapeDefaults>
  <w:footnotePr>
    <w:footnote w:id="0"/>
    <w:footnote w:id="1"/>
  </w:footnotePr>
  <w:endnotePr>
    <w:endnote w:id="0"/>
    <w:endnote w:id="1"/>
  </w:endnotePr>
  <w:compat>
    <w:useFELayout/>
  </w:compat>
  <w:rsids>
    <w:rsidRoot w:val="00466517"/>
    <w:rsid w:val="00120827"/>
    <w:rsid w:val="001C4CCC"/>
    <w:rsid w:val="00323B43"/>
    <w:rsid w:val="0037384D"/>
    <w:rsid w:val="003D37D8"/>
    <w:rsid w:val="004358AB"/>
    <w:rsid w:val="00466517"/>
    <w:rsid w:val="00612DCD"/>
    <w:rsid w:val="006C5AB8"/>
    <w:rsid w:val="00763AF8"/>
    <w:rsid w:val="007B5015"/>
    <w:rsid w:val="00811EB4"/>
    <w:rsid w:val="008B7726"/>
    <w:rsid w:val="0098122E"/>
    <w:rsid w:val="00BB72F6"/>
    <w:rsid w:val="00CA1676"/>
    <w:rsid w:val="00E548B1"/>
    <w:rsid w:val="00F41F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517"/>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466517"/>
    <w:pPr>
      <w:widowControl/>
      <w:spacing w:before="100" w:beforeAutospacing="1" w:after="100" w:afterAutospacing="1"/>
      <w:jc w:val="left"/>
    </w:pPr>
    <w:rPr>
      <w:rFonts w:ascii="宋体" w:hAnsi="宋体" w:cs="宋体"/>
      <w:kern w:val="0"/>
      <w:sz w:val="24"/>
    </w:rPr>
  </w:style>
  <w:style w:type="paragraph" w:styleId="a4">
    <w:name w:val="Body Text"/>
    <w:basedOn w:val="a"/>
    <w:link w:val="Char"/>
    <w:uiPriority w:val="99"/>
    <w:semiHidden/>
    <w:unhideWhenUsed/>
    <w:rsid w:val="00466517"/>
    <w:pPr>
      <w:spacing w:after="120"/>
    </w:pPr>
  </w:style>
  <w:style w:type="character" w:customStyle="1" w:styleId="Char">
    <w:name w:val="正文文本 Char"/>
    <w:basedOn w:val="a0"/>
    <w:link w:val="a4"/>
    <w:uiPriority w:val="99"/>
    <w:semiHidden/>
    <w:rsid w:val="00466517"/>
    <w:rPr>
      <w:rFonts w:ascii="Times New Roman" w:eastAsia="宋体" w:hAnsi="Times New Roman" w:cs="Times New Roman"/>
      <w:kern w:val="2"/>
      <w:sz w:val="21"/>
      <w:szCs w:val="24"/>
    </w:rPr>
  </w:style>
  <w:style w:type="paragraph" w:styleId="a5">
    <w:name w:val="header"/>
    <w:basedOn w:val="a"/>
    <w:link w:val="Char0"/>
    <w:uiPriority w:val="99"/>
    <w:semiHidden/>
    <w:unhideWhenUsed/>
    <w:rsid w:val="00E548B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548B1"/>
    <w:rPr>
      <w:rFonts w:ascii="Times New Roman" w:eastAsia="宋体" w:hAnsi="Times New Roman" w:cs="Times New Roman"/>
      <w:kern w:val="2"/>
      <w:sz w:val="18"/>
      <w:szCs w:val="18"/>
    </w:rPr>
  </w:style>
  <w:style w:type="paragraph" w:styleId="a6">
    <w:name w:val="footer"/>
    <w:basedOn w:val="a"/>
    <w:link w:val="Char1"/>
    <w:uiPriority w:val="99"/>
    <w:semiHidden/>
    <w:unhideWhenUsed/>
    <w:rsid w:val="00E548B1"/>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548B1"/>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Pages>
  <Words>4008</Words>
  <Characters>4210</Characters>
  <Application>Microsoft Office Word</Application>
  <DocSecurity>0</DocSecurity>
  <Lines>161</Lines>
  <Paragraphs>62</Paragraphs>
  <ScaleCrop>false</ScaleCrop>
  <Company>Microsoft</Company>
  <LinksUpToDate>false</LinksUpToDate>
  <CharactersWithSpaces>8156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Users</cp:lastModifiedBy>
  <cp:revision>4</cp:revision>
  <cp:lastPrinted>2021-11-29T07:01:00Z</cp:lastPrinted>
  <dcterms:created xsi:type="dcterms:W3CDTF">2021-11-29T02:36:00Z</dcterms:created>
  <dcterms:modified xsi:type="dcterms:W3CDTF">2021-11-29T07:05:00Z</dcterms:modified>
</cp:coreProperties>
</file>