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益阳市资阳区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总工</w:t>
      </w:r>
      <w:r>
        <w:rPr>
          <w:rFonts w:hint="eastAsia" w:ascii="方正小标宋简体" w:eastAsia="方正小标宋简体"/>
          <w:sz w:val="44"/>
          <w:szCs w:val="44"/>
        </w:rPr>
        <w:t>会2020年度部门预算绩效自评报告</w:t>
      </w:r>
    </w:p>
    <w:p>
      <w:pPr>
        <w:ind w:firstLine="420" w:firstLineChars="200"/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进一步规范财政资金管理，牢固树立预算绩效理念，强化支出责任，提高财政资金使用效益，我会根据益阳市资阳区财政局发《益阳市资阳区财政局关于开展2020年度预算绩效自评工作》的通知（益资财[2021]22号）等有关文件精神，结合我会的具体情况，认真组织开展了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年度部门预算绩效自评工作，现将我会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年度部门预算绩效评价情况报告如下：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（一）根据党的基本理论、基本路线和基本纲领、遵照全国总工会、省、市总工会确定的工会工作的指导方针和任务，围绕大局，结合实际，指导全区工会工作。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二）贯彻全国总工会、省、市总工会和市总工会代表大会的决议，依照法律和章程，组织和指导全区各级工会履行工会“组织起来，切实维权”和维护、建设、参与、教育等社会职能，开展工会各项工作；指导区总工会直属单位的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我会为参照公务员管理的全额拨款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单位，现有干职工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人，在职职工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人，退休职工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80" w:lineRule="exact"/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阳市资阳总工会单位内设机构包括：3个机关职能部室（内设办公室、组织部（区直机关工会委员会）、权益保障部）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二、部门支出整体情况</w:t>
      </w:r>
    </w:p>
    <w:p>
      <w:pPr>
        <w:pStyle w:val="6"/>
        <w:ind w:firstLine="321" w:firstLineChars="100"/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（一）部门支出情况说明</w:t>
      </w:r>
    </w:p>
    <w:p>
      <w:pPr>
        <w:pStyle w:val="6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2020年度财政拨款支出年初预算数为76.48万元，年末追加劳模经费10万，支出决算数为89.29万元，超出预算主要是人员增长工资及社会保障缴费增长。</w:t>
      </w:r>
    </w:p>
    <w:p>
      <w:pPr>
        <w:pStyle w:val="6"/>
        <w:ind w:firstLine="321" w:firstLineChars="100"/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(二）一般公共预算财政拨款基本支出决算情况说明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2020年度财政拨款基本支出89.29万元，其中：人员经费88.60万元，占基本支出的99.23%,主要包括基本工资、津贴补贴、奖金、绩效工资、机关事业单位养老保险、住房公积金、对个人和家庭的补贴等；公用经费0.69万元，占基本支出的0.77%，主要包括办公费、印刷费等。</w:t>
      </w:r>
    </w:p>
    <w:p>
      <w:pPr>
        <w:pStyle w:val="6"/>
        <w:ind w:firstLine="643" w:firstLineChars="200"/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(三）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“</w:t>
      </w: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三公”经费财政拨款支出决算总体情况说明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“三公”经费财政拨款支出预算为0万元，支出决算为0万元。</w:t>
      </w:r>
    </w:p>
    <w:p>
      <w:pPr>
        <w:pStyle w:val="6"/>
        <w:ind w:firstLine="321" w:firstLineChars="100"/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（四）</w:t>
      </w: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政府性基金预算收入支出决算情况</w:t>
      </w:r>
    </w:p>
    <w:p>
      <w:pPr>
        <w:pStyle w:val="6"/>
        <w:ind w:firstLine="640" w:firstLineChars="200"/>
        <w:rPr>
          <w:rFonts w:hint="eastAsia" w:asciiTheme="minorEastAsia" w:hAnsiTheme="minorEastAsia" w:eastAsiaTheme="minorEastAsia" w:cstheme="minorEastAsia"/>
          <w:color w:val="FF000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本单位无政府性基金收支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32"/>
          <w:szCs w:val="22"/>
          <w:lang w:val="en-US" w:eastAsia="zh-CN" w:bidi="ar-SA"/>
        </w:rPr>
        <w:t>。</w:t>
      </w:r>
    </w:p>
    <w:p>
      <w:pPr>
        <w:pStyle w:val="6"/>
        <w:ind w:firstLine="321" w:firstLineChars="1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（五）</w:t>
      </w: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关于机关运行经费支出说明</w:t>
      </w:r>
    </w:p>
    <w:p>
      <w:pPr>
        <w:pStyle w:val="6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本部门2020年度机关运行经费支出0.69万元，比年初预算数增加 0.09万元，增长15%。主要原因是：</w:t>
      </w:r>
      <w:r>
        <w:rPr>
          <w:rFonts w:hint="eastAsia" w:eastAsia="仿宋_GB2312"/>
          <w:sz w:val="32"/>
          <w:szCs w:val="32"/>
        </w:rPr>
        <w:t>预算调整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6"/>
        <w:ind w:firstLine="643" w:firstLineChars="200"/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(六）</w:t>
      </w:r>
      <w:r>
        <w:rPr>
          <w:rFonts w:hint="eastAsia" w:ascii="仿宋_GB2312" w:hAnsi="Calibri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一般性支出情况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2020年本部门开支会议费0万元，人数0人，开支培训费0万元，人数0人，开支0万元。</w:t>
      </w:r>
    </w:p>
    <w:p>
      <w:pPr>
        <w:pStyle w:val="6"/>
        <w:ind w:firstLine="643" w:firstLineChars="2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（七）关于政府采购支出说明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本部门2020年度政府采购支出总额0万元</w:t>
      </w:r>
    </w:p>
    <w:p>
      <w:pPr>
        <w:pStyle w:val="6"/>
        <w:ind w:firstLine="643" w:firstLineChars="2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（八）关于国有资产占用情况说明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截至2020年12月31日，本单位共有车辆0辆，其中，主要领导干部用车0辆，机要通信用车0辆、应急保障用车0辆、执法执勤用车0辆、特种专业技术用车0辆、其他用车0辆，单位价值50万元以上通用设备0台（套）；单位价值100万元以上专用设备0台（套）</w:t>
      </w:r>
    </w:p>
    <w:p>
      <w:pPr>
        <w:pStyle w:val="6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整体支出绩效目标</w:t>
      </w:r>
    </w:p>
    <w:p>
      <w:pPr>
        <w:widowControl/>
        <w:autoSpaceDE w:val="0"/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本单位根据上级主管部门的要求，积极开展预算绩效管理，完成绩效目标，按时组织绩效考核工作，认真完成各项任务。预决算公开：2020年，按照上级的要求，我会在资阳公众信息网进行了预决算公开。</w:t>
      </w:r>
    </w:p>
    <w:p>
      <w:pPr>
        <w:widowControl/>
        <w:autoSpaceDE w:val="0"/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内部管理制度建设情况：近年来，我会制定、完善了《资阳区总工会财务管理制度》等一系列内部制度。</w:t>
      </w:r>
    </w:p>
    <w:p>
      <w:pPr>
        <w:shd w:val="clear" w:color="auto" w:fill="FFFFFF"/>
        <w:autoSpaceDE w:val="0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shd w:val="clear" w:color="auto" w:fill="FFFFFF"/>
        <w:autoSpaceDE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存在的主要问题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预算编制有待更严格执行。预算编制与实际支出项目有的仍存在细微差异。监督管理机制还有待加强。财务工作水平要进一步提高。会计基础工作还需要不断完善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hd w:val="clear" w:color="auto" w:fill="FFFFFF"/>
        <w:autoSpaceDE w:val="0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shd w:val="clear" w:color="auto" w:fill="FFFFFF"/>
        <w:autoSpaceDE w:val="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五、改进措施</w:t>
      </w:r>
    </w:p>
    <w:p>
      <w:pPr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一）本着“勤俭节约、保障运转”的原则做好预算编制工作，进一步提高预算编制的科学性、合理性、严谨性。加强预算绩效管理意识加强监管，做到不出现断层、漏洞。</w:t>
      </w:r>
    </w:p>
    <w:p>
      <w:pPr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（二）进一步完善财务制度，规范财经纪律。</w:t>
      </w:r>
    </w:p>
    <w:p>
      <w:pPr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（三）财务工作人员的业务能力要与时俱进，通过各种渠道和方式加强学习。  </w:t>
      </w:r>
    </w:p>
    <w:p>
      <w:pPr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预算绩效管理意识，在日常预算管理过程中，进一步加强预算支出的审核、跟踪及预算执行情况分析。本着“勤俭节约、保障运转”的原则做好预算编制工作，进一步提高预算编制的科学性、合理性、严谨性。</w:t>
      </w:r>
    </w:p>
    <w:p>
      <w:pPr>
        <w:ind w:firstLine="640" w:firstLineChars="200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益阳市资阳区总工会</w:t>
      </w:r>
    </w:p>
    <w:p>
      <w:pPr>
        <w:pStyle w:val="2"/>
        <w:ind w:firstLine="5440" w:firstLineChars="170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2021年9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月16日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20442"/>
    <w:multiLevelType w:val="singleLevel"/>
    <w:tmpl w:val="A1D204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NDk0NTRiZDg1MWE5NTAwNTU3NTRkZDg1YjI3MzIifQ=="/>
  </w:docVars>
  <w:rsids>
    <w:rsidRoot w:val="00000000"/>
    <w:rsid w:val="03B801D0"/>
    <w:rsid w:val="041C3046"/>
    <w:rsid w:val="0502335C"/>
    <w:rsid w:val="09B764E9"/>
    <w:rsid w:val="153674A4"/>
    <w:rsid w:val="20A23FDD"/>
    <w:rsid w:val="21B55B66"/>
    <w:rsid w:val="39326FFC"/>
    <w:rsid w:val="3BE22603"/>
    <w:rsid w:val="5048284C"/>
    <w:rsid w:val="6EF2443B"/>
    <w:rsid w:val="6F253C23"/>
    <w:rsid w:val="733A5527"/>
    <w:rsid w:val="7D6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1581</Characters>
  <Lines>0</Lines>
  <Paragraphs>0</Paragraphs>
  <TotalTime>6</TotalTime>
  <ScaleCrop>false</ScaleCrop>
  <LinksUpToDate>false</LinksUpToDate>
  <CharactersWithSpaces>1640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2022-06-15T08:19:00Z</dcterms:created>
  <dc:creator>Administrator</dc:creator>
  <cp:lastModifiedBy>海棠</cp:lastModifiedBy>
  <dcterms:modified xsi:type="dcterms:W3CDTF">2022-07-17T06:11:07Z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AA3744D731C64A499250427B09C24DD3</vt:lpwstr>
  </property>
</Properties>
</file>