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44"/>
          <w:szCs w:val="44"/>
        </w:rPr>
        <w:t>中共益阳市资阳区委统一战线工作部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 xml:space="preserve">    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20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年度部门整体支出绩效评价报告</w:t>
      </w:r>
    </w:p>
    <w:p>
      <w:pPr>
        <w:pStyle w:val="2"/>
        <w:spacing w:line="579" w:lineRule="exact"/>
        <w:ind w:firstLine="1280" w:firstLineChars="4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为进一步规范财政资金管理，牢固树立预算绩效理念，强化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</w:rPr>
        <w:t>支出责任，提高财政资金使用效益，根据《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益资</w:t>
      </w:r>
      <w:r>
        <w:rPr>
          <w:rFonts w:hint="eastAsia" w:ascii="宋体" w:hAnsi="宋体" w:eastAsia="宋体" w:cs="宋体"/>
          <w:sz w:val="32"/>
          <w:szCs w:val="32"/>
        </w:rPr>
        <w:t>财〔202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号）要求，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我局</w:t>
      </w:r>
      <w:r>
        <w:rPr>
          <w:rFonts w:hint="eastAsia" w:ascii="宋体" w:hAnsi="宋体" w:eastAsia="宋体" w:cs="宋体"/>
          <w:sz w:val="32"/>
          <w:szCs w:val="32"/>
        </w:rPr>
        <w:t>组织开展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了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pStyle w:val="11"/>
        <w:numPr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1.贯彻执行中央和省委、市委关于统一战线的方针、政策；向区委反映统一战线全面情况，提出开展统战工作的意见和建议；检查统战政策执行情况，协调统一战线各方面的关系。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负责联系各民主党派和无党派人士，及时通报情况，反映他们的意见和建议；贯彻党领导的多党合作和政治协商制度及对民主党派的方针、政策；落实中央和省、市、区委关于发挥民主党派参政议政和民主监督作用的工作；为区委同民主党派进行政治协商做好组织联系工作；协助市委统战部做好区内各民主党派基层组织及其成员工作；做好无党派代表人士工作；选拔、培养新一代代表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3.负责党外人士的政治安排；协助区委组织部做好政府及其部门和法院、检察院党外领导干部培养、考察、选拔、推荐和安排工作，做好党外后备干部和新的代表人物队伍的建设工作。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4.负责开展以祖国统一为重点的海外统一战线工作；联系香港、澳门和海外有关社团及代表人士；归口管理台湾在野党派、政治团体的来访工作，做好台胞、台属的有关工作。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5.调查研究并反映全区非公有制经济代表人士的情况，协调关系，提出政策建议；团结、帮助、引导、教育非公有制经济代表人士，积极开展思想政治工作。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6.负责协调有关民族、宗教工作的重大问题，联系少数民族宗教界的代表人物；协助有关部门做好少数民族干部的培养和举荐工作；协助有关部门开展对国内外敌对势力分裂祖国活动的斗争。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负责调查反映党外知识分子的情况与意见，协调关系、提出建议；联系培养选拔党外知识分子的代表人物；落实区级党员领导干部与党外代表人士联谊交友制度；认真组织开展统战部领导班子成员与党外代表人士“谈心日、走访月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8.负责指导乡镇、街道（经济开发区）党（工）委统战工作和统战干部培训工作；协调政府各有关部门的统战工作。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9.联系、指导区工商联工作；归口管理区黄埔同学会、区海外联谊会、区党外知识分子联谊会的有关工作。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10.完成区委、区政府交办的其他工作。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中共益阳市资阳区委统一战线工作部</w:t>
      </w:r>
      <w:r>
        <w:rPr>
          <w:rFonts w:hint="eastAsia" w:ascii="宋体" w:hAnsi="宋体" w:eastAsia="宋体" w:cs="宋体"/>
          <w:sz w:val="32"/>
          <w:lang w:val="en-US" w:eastAsia="zh-CN"/>
        </w:rPr>
        <w:t>下设办公室、干部组、经济联络组3个组室，区民族宗教局、区侨联、区委统战部管理。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lang w:val="en-US" w:eastAsia="zh-CN"/>
        </w:rPr>
      </w:pPr>
    </w:p>
    <w:p>
      <w:pPr>
        <w:pStyle w:val="11"/>
        <w:widowControl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11"/>
        <w:widowControl/>
        <w:numPr>
          <w:numId w:val="0"/>
        </w:numPr>
        <w:spacing w:line="579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（一）</w:t>
      </w:r>
      <w:r>
        <w:rPr>
          <w:rFonts w:hint="eastAsia" w:hAnsi="黑体"/>
          <w:b/>
          <w:sz w:val="32"/>
          <w:szCs w:val="32"/>
        </w:rPr>
        <w:t>、财政拨款收入支出决算总体情况说明</w:t>
      </w:r>
    </w:p>
    <w:p>
      <w:pPr>
        <w:pStyle w:val="10"/>
        <w:spacing w:line="500" w:lineRule="exact"/>
        <w:ind w:firstLine="1120" w:firstLineChars="350"/>
        <w:rPr>
          <w:rFonts w:hint="eastAsia" w:asciiTheme="minorEastAsia" w:hAnsiTheme="minorEastAsia" w:eastAsiaTheme="minorEastAsia"/>
          <w:i/>
          <w:i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收入</w:t>
      </w:r>
      <w:r>
        <w:rPr>
          <w:rFonts w:hint="eastAsia" w:asciiTheme="minorEastAsia" w:hAnsiTheme="minorEastAsia" w:eastAsiaTheme="minorEastAsia"/>
          <w:sz w:val="32"/>
          <w:szCs w:val="32"/>
        </w:rPr>
        <w:t>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342.14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39.87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13.19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2019年度财政拨款年末结转和结余14.67万元，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lang w:val="en-US" w:eastAsia="zh-CN"/>
        </w:rPr>
        <w:t>干</w:t>
      </w:r>
      <w:r>
        <w:rPr>
          <w:rFonts w:hint="eastAsia" w:asciiTheme="minorEastAsia" w:hAnsiTheme="minorEastAsia" w:eastAsiaTheme="minorEastAsia" w:cstheme="minorEastAsia"/>
          <w:color w:val="000000"/>
          <w:sz w:val="32"/>
        </w:rPr>
        <w:t>职工调资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lang w:eastAsia="zh-CN"/>
        </w:rPr>
        <w:t>增加人员预算。</w:t>
      </w:r>
    </w:p>
    <w:p>
      <w:pPr>
        <w:pStyle w:val="10"/>
        <w:spacing w:line="500" w:lineRule="exact"/>
        <w:ind w:firstLine="1120" w:firstLineChars="3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支出总计342.14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27.25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8.65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项目支出比上年增加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18.34%，2020年度年末结转和结余61.71万元。</w:t>
      </w:r>
    </w:p>
    <w:p>
      <w:pPr>
        <w:pStyle w:val="10"/>
        <w:spacing w:line="500" w:lineRule="exact"/>
        <w:ind w:firstLine="2100" w:firstLineChars="250"/>
        <w:rPr>
          <w:rFonts w:hint="default" w:asciiTheme="minorEastAsia" w:hAnsiTheme="minorEastAsia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 xml:space="preserve"> 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财政拨款支出决算总体情况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280.43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96.48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12.34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4.21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%，主要是因为本年度单位压缩公用经费支出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640"/>
        <w:rPr>
          <w:rFonts w:hint="eastAsia" w:asciiTheme="minorEastAsia" w:hAnsiTheme="minorEastAsia" w:eastAsiaTheme="minorEastAsia"/>
          <w:i/>
          <w:iCs/>
          <w:color w:val="FF0000"/>
          <w:sz w:val="32"/>
          <w:szCs w:val="32"/>
          <w:highlight w:val="none"/>
          <w:lang w:val="en-US" w:eastAsia="zh-CN"/>
        </w:rPr>
      </w:pP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财政拨款支出决算结构情况</w:t>
      </w:r>
    </w:p>
    <w:p>
      <w:pPr>
        <w:ind w:firstLine="709"/>
        <w:rPr>
          <w:rFonts w:hint="default" w:ascii="宋体" w:hAnsi="宋体" w:eastAsia="宋体" w:cs="宋体"/>
          <w:color w:val="000000"/>
          <w:sz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280.43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一般公共服务支出230.64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82.25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%；社会保障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和就业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支出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18.82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 xml:space="preserve">6.71 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%；医疗卫生与计划生育支出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16.97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6.05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住房保障支出14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4.99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。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 xml:space="preserve"> 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财政拨款支出决算具体情况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277.68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280.43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101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1、一般公共服务（类）民族事务（款） 民族工作专项（项）。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本年度追加预算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11万元，</w:t>
      </w:r>
      <w:r>
        <w:rPr>
          <w:rFonts w:hint="eastAsia" w:asciiTheme="minorEastAsia" w:hAnsiTheme="minorEastAsia" w:eastAsiaTheme="minorEastAsia"/>
          <w:sz w:val="32"/>
          <w:szCs w:val="32"/>
        </w:rPr>
        <w:t>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205.8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本年度新增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民族工作项目经费。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2、一般公共服务（类） 港澳台事务（款）一般行政管理事务（港澳台侨事务）（项）。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  民主党派及工商联事务（款）其他民主党派及工商联事务支出（项）。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于年初预算数的主要原因是：单位本年度结余资金结转下年使用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 统战事务（款）行政运行（统战事务）（项）。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150.39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161.62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107.47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干职工调资。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 统战事务（款）一般行政管理事务（统战事务）（项）。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21.41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54.9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于年初预算数的主要原因是：本年度单位压缩10%的公用经费支出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单位本年度结余资金结转下年使用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 统战事务（款） 其他统战事务支出（统战事务）（项）。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9.97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104.95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大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本年度新增项目。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、一般公共服务（类）群众团体事务（款） 其他群众团体事务支出（项）。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本年度追加预算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4万元，</w:t>
      </w:r>
      <w:r>
        <w:rPr>
          <w:rFonts w:hint="eastAsia" w:asciiTheme="minorEastAsia" w:hAnsiTheme="minorEastAsia" w:eastAsiaTheme="minorEastAsia"/>
          <w:sz w:val="32"/>
          <w:szCs w:val="32"/>
        </w:rPr>
        <w:t>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大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于年初预算数的主要原因是：本年度单位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新增项目资金。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 民族事务（款）一般行政管理事务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民族事务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本年度追加预算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0.72万元，</w:t>
      </w:r>
      <w:r>
        <w:rPr>
          <w:rFonts w:hint="eastAsia" w:asciiTheme="minorEastAsia" w:hAnsiTheme="minorEastAsia" w:eastAsiaTheme="minorEastAsia"/>
          <w:sz w:val="32"/>
          <w:szCs w:val="32"/>
        </w:rPr>
        <w:t>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1.44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144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大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本年度新增民族工作事项。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2"/>
          <w:szCs w:val="32"/>
        </w:rPr>
        <w:t>、一般公共服务（类）其他一般公共服务支出（款） 其他一般公共服务支出（项）。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，上年度结转和结余1.08万元，</w:t>
      </w:r>
      <w:r>
        <w:rPr>
          <w:rFonts w:hint="eastAsia" w:asciiTheme="minorEastAsia" w:hAnsiTheme="minorEastAsia" w:eastAsiaTheme="minorEastAsia"/>
          <w:sz w:val="32"/>
          <w:szCs w:val="32"/>
        </w:rPr>
        <w:t>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1.08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大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上年结余资金本年度使用。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7、</w:t>
      </w:r>
      <w:r>
        <w:rPr>
          <w:rFonts w:hint="eastAsia" w:asciiTheme="minorEastAsia" w:hAnsiTheme="minorEastAsia" w:eastAsiaTheme="minorEastAsia"/>
          <w:sz w:val="32"/>
          <w:szCs w:val="32"/>
        </w:rPr>
        <w:t>卫生健康支出（类） 行政事业单位医疗（款）行政单位医疗（项）。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18.35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92.48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于年初预算数的主要原因是：单位本年度结余资金结转下年使用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8、</w:t>
      </w:r>
      <w:r>
        <w:rPr>
          <w:rFonts w:hint="eastAsia" w:asciiTheme="minorEastAsia" w:hAnsiTheme="minorEastAsia" w:eastAsiaTheme="minorEastAsia"/>
          <w:sz w:val="32"/>
          <w:szCs w:val="32"/>
        </w:rPr>
        <w:t>住房保障支出（类） 住房改革支出（款） 住房公积金（项）。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14.12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99.15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于年初预算数的主要原因是：单位本年度结余资金结转下年使用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（类） 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行政事业单位养老支出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（款） 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机关事业单位基本养老保险缴费支出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10"/>
        <w:ind w:firstLine="320" w:firstLineChars="1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（五）</w:t>
      </w:r>
      <w:r>
        <w:rPr>
          <w:rFonts w:hint="eastAsia" w:hAnsi="黑体"/>
          <w:b/>
          <w:sz w:val="32"/>
          <w:szCs w:val="32"/>
        </w:rPr>
        <w:t>、一般公共预算财政拨款基本支出决算情况说明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226.44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213.99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94.5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、社会保障缴费等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5.5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、水电费、其他商品和服务支出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0"/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二、</w:t>
      </w:r>
      <w:r>
        <w:rPr>
          <w:rFonts w:hint="eastAsia" w:hAnsi="黑体"/>
          <w:b/>
          <w:sz w:val="32"/>
          <w:szCs w:val="32"/>
        </w:rPr>
        <w:t>一般公共预算财政拨款三公经费支出决算情况说明</w:t>
      </w:r>
    </w:p>
    <w:p>
      <w:pPr>
        <w:pStyle w:val="10"/>
        <w:ind w:firstLine="960" w:firstLineChars="3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。公车改革，单位车辆由机关事务中心统一管理；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本年度无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“三公”经费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拨款。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0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截止2020年12月31日，我单位开支财政拨款的公务用车保有量为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辆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公车改革，单位车辆由机关事务中心统一管理；本单位公务用车财政拨款统一由机关事务中心管理。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本年度无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“三公”经费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支出。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三</w:t>
      </w:r>
      <w:r>
        <w:rPr>
          <w:rFonts w:hint="eastAsia" w:hAnsi="黑体"/>
          <w:b/>
          <w:sz w:val="32"/>
          <w:szCs w:val="32"/>
        </w:rPr>
        <w:t>、关于机关运行经费支出说明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本部门2020年度机关运行经费支出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万元，比上年决算数减少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38.94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万元，降低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75.78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%。主要原因是：本年度单位压缩10%的公用经费支出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四</w:t>
      </w:r>
      <w:r>
        <w:rPr>
          <w:rFonts w:hint="eastAsia" w:hAnsi="黑体"/>
          <w:b/>
          <w:sz w:val="32"/>
          <w:szCs w:val="32"/>
        </w:rPr>
        <w:t>、一般性支出情况</w:t>
      </w:r>
    </w:p>
    <w:p>
      <w:pPr>
        <w:pStyle w:val="10"/>
        <w:ind w:firstLine="1280" w:firstLineChars="400"/>
        <w:rPr>
          <w:rFonts w:hint="eastAsia" w:asciiTheme="minorEastAsia" w:hAnsiTheme="minorEastAsia" w:eastAsiaTheme="minorEastAsia"/>
          <w:i/>
          <w:iCs/>
          <w:color w:val="FF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3.78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万元，用于益阳市资阳区新的社会阶层人士联谊会，人数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人，内容为（一）举行区新联会第一次会员全体会议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（二）举行区新联会第一届理事会会议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（三）合影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（四）举行区新联会第二次会员全体会议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（五）会员培训。</w:t>
      </w:r>
    </w:p>
    <w:p>
      <w:pPr>
        <w:pStyle w:val="10"/>
        <w:ind w:firstLine="320" w:firstLineChars="1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五</w:t>
      </w:r>
      <w:r>
        <w:rPr>
          <w:rFonts w:hint="eastAsia" w:hAnsi="黑体"/>
          <w:b/>
          <w:sz w:val="32"/>
          <w:szCs w:val="32"/>
        </w:rPr>
        <w:t>、关于国有资产占用情况说明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截至2020年12月31日，本单位共有车辆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公车改革，单位车辆由机关事务中心统一管理。</w:t>
      </w:r>
    </w:p>
    <w:p>
      <w:pPr>
        <w:pStyle w:val="10"/>
        <w:numPr>
          <w:ilvl w:val="0"/>
          <w:numId w:val="2"/>
        </w:numPr>
        <w:ind w:firstLine="320" w:firstLineChars="1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关于2020年度预算绩效情况的说明</w:t>
      </w:r>
    </w:p>
    <w:p>
      <w:pPr>
        <w:pStyle w:val="10"/>
        <w:numPr>
          <w:numId w:val="0"/>
        </w:numPr>
        <w:rPr>
          <w:rFonts w:hint="eastAsia" w:hAnsi="黑体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ind w:firstLine="960" w:firstLineChars="3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本单位根据有关政策文件要求开展预算绩效管理工作，加强绩效目标管理，根据单位职责要求明确了各项工作的执行计划、考核指标等事项，在编制2020年部门预算时，本部门将所有预算资金纳入绩效目标管理，实现了绩效目标与部门预算同步编制、同步申报。</w:t>
      </w:r>
      <w:r>
        <w:rPr>
          <w:rFonts w:hint="eastAsia" w:ascii="宋体" w:hAnsi="宋体" w:eastAsia="宋体" w:cs="宋体"/>
          <w:sz w:val="32"/>
          <w:szCs w:val="32"/>
        </w:rPr>
        <w:t>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</w:rPr>
        <w:t>整体支出和项目支出实行绩效目标管理，纳入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</w:rPr>
        <w:t>整体支出绩效目标的金额为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286.37</w:t>
      </w:r>
      <w:r>
        <w:rPr>
          <w:rFonts w:hint="eastAsia" w:ascii="宋体" w:hAnsi="宋体" w:eastAsia="宋体" w:cs="宋体"/>
          <w:sz w:val="32"/>
          <w:szCs w:val="32"/>
        </w:rPr>
        <w:t>万元，其中：基本支出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210.37</w:t>
      </w:r>
      <w:r>
        <w:rPr>
          <w:rFonts w:hint="eastAsia" w:ascii="宋体" w:hAnsi="宋体" w:eastAsia="宋体" w:cs="宋体"/>
          <w:sz w:val="32"/>
          <w:szCs w:val="32"/>
        </w:rPr>
        <w:t>万元，项目支出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76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其中：民宗11万元，华侨及涉台应急4万元，侨办4.5万元；经济联络8万元；同心工程工作经费8万元，党外干部信息库建设6万元，政协联络10万元，党外人士调研经费11万元，派驻纪检组专项6万，反宗教渗透1万元，民主党派和无党派代表人士3万元；黄埔同学会3万元，计划生育工作0.5万元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整体情况来看，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严格按照年初预算进行部门整体支出。在支出过程中，能严格遵守各项规章制度。所有项目都详细制定了方案，严格按方案组织实施，并加强了监督。尤其是在专项经费支出上，能专款专用，按项目实施计划的进度情况进行资金拨付，无截留、无挪用等现象。实行了先有预算、后有执行、“用钱必问效、无效必问责”的新常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0" w:right="0" w:firstLine="960" w:firstLineChars="3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pStyle w:val="10"/>
        <w:tabs>
          <w:tab w:val="left" w:pos="907"/>
        </w:tabs>
        <w:jc w:val="left"/>
        <w:rPr>
          <w:rFonts w:hint="default" w:eastAsia="黑体"/>
          <w:sz w:val="84"/>
          <w:szCs w:val="84"/>
          <w:lang w:val="en-US" w:eastAsia="zh-CN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 xml:space="preserve"> </w:t>
      </w:r>
    </w:p>
    <w:p>
      <w:pPr>
        <w:pStyle w:val="10"/>
        <w:jc w:val="center"/>
        <w:rPr>
          <w:rFonts w:hint="eastAsia" w:eastAsia="黑体"/>
          <w:sz w:val="84"/>
          <w:szCs w:val="84"/>
          <w:lang w:eastAsia="zh-CN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rFonts w:hint="default" w:eastAsia="黑体"/>
          <w:i/>
          <w:iCs/>
          <w:color w:val="FF0000"/>
          <w:sz w:val="56"/>
          <w:szCs w:val="56"/>
          <w:lang w:val="en-US" w:eastAsia="zh-CN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spacing w:line="540" w:lineRule="exact"/>
        <w:jc w:val="center"/>
        <w:rPr>
          <w:sz w:val="56"/>
          <w:szCs w:val="56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pStyle w:val="10"/>
        <w:numPr>
          <w:ilvl w:val="0"/>
          <w:numId w:val="0"/>
        </w:numPr>
        <w:jc w:val="both"/>
        <w:rPr>
          <w:rFonts w:hint="eastAsia" w:eastAsia="黑体"/>
          <w:sz w:val="44"/>
          <w:szCs w:val="44"/>
          <w:lang w:val="en-US" w:eastAsia="zh-CN"/>
        </w:rPr>
      </w:pPr>
    </w:p>
    <w:p>
      <w:pPr>
        <w:pStyle w:val="10"/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p>
      <w:pPr>
        <w:jc w:val="left"/>
        <w:rPr>
          <w:rFonts w:hint="eastAsia" w:cs="黑体" w:asciiTheme="minorEastAsia" w:hAnsiTheme="minorEastAsia" w:eastAsiaTheme="minorEastAsia"/>
          <w:b/>
          <w:bCs/>
          <w:color w:val="FF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1C723"/>
    <w:multiLevelType w:val="singleLevel"/>
    <w:tmpl w:val="2411C72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05D255"/>
    <w:multiLevelType w:val="singleLevel"/>
    <w:tmpl w:val="3605D2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06F9"/>
    <w:rsid w:val="0002229B"/>
    <w:rsid w:val="000273BD"/>
    <w:rsid w:val="000415B7"/>
    <w:rsid w:val="00041E3F"/>
    <w:rsid w:val="00055DAA"/>
    <w:rsid w:val="00061F7B"/>
    <w:rsid w:val="00064BF2"/>
    <w:rsid w:val="000658A3"/>
    <w:rsid w:val="00074155"/>
    <w:rsid w:val="000A3F69"/>
    <w:rsid w:val="00103957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955"/>
    <w:rsid w:val="003C4FC2"/>
    <w:rsid w:val="00416E61"/>
    <w:rsid w:val="0042790C"/>
    <w:rsid w:val="004506F9"/>
    <w:rsid w:val="004717A2"/>
    <w:rsid w:val="00473DF3"/>
    <w:rsid w:val="0048314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36E88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BE6BF2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44EE"/>
    <w:rsid w:val="00DD06FF"/>
    <w:rsid w:val="00DD5FE9"/>
    <w:rsid w:val="00E00C7A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25D064D"/>
    <w:rsid w:val="028C2FEB"/>
    <w:rsid w:val="02E465FD"/>
    <w:rsid w:val="02E66E36"/>
    <w:rsid w:val="032E3975"/>
    <w:rsid w:val="03546191"/>
    <w:rsid w:val="038D706E"/>
    <w:rsid w:val="04744518"/>
    <w:rsid w:val="04A05CFD"/>
    <w:rsid w:val="06172101"/>
    <w:rsid w:val="061C1DA6"/>
    <w:rsid w:val="06676BF2"/>
    <w:rsid w:val="073009FD"/>
    <w:rsid w:val="08C60B9B"/>
    <w:rsid w:val="08EA58AB"/>
    <w:rsid w:val="0B885C90"/>
    <w:rsid w:val="0BB34B87"/>
    <w:rsid w:val="0C783613"/>
    <w:rsid w:val="0E1558B8"/>
    <w:rsid w:val="0E3F7F14"/>
    <w:rsid w:val="0EB70254"/>
    <w:rsid w:val="0F515E59"/>
    <w:rsid w:val="0F5B579A"/>
    <w:rsid w:val="0F976645"/>
    <w:rsid w:val="107C3BDA"/>
    <w:rsid w:val="115E30DA"/>
    <w:rsid w:val="12456DAB"/>
    <w:rsid w:val="13531F8D"/>
    <w:rsid w:val="13D97A9F"/>
    <w:rsid w:val="1700112E"/>
    <w:rsid w:val="17CB464A"/>
    <w:rsid w:val="17E03619"/>
    <w:rsid w:val="17FF0AEB"/>
    <w:rsid w:val="18444669"/>
    <w:rsid w:val="1B0B4D24"/>
    <w:rsid w:val="1B2F25C4"/>
    <w:rsid w:val="1BE70F39"/>
    <w:rsid w:val="1F462448"/>
    <w:rsid w:val="1F764129"/>
    <w:rsid w:val="20115757"/>
    <w:rsid w:val="201C7F98"/>
    <w:rsid w:val="250916F0"/>
    <w:rsid w:val="258F065A"/>
    <w:rsid w:val="26484349"/>
    <w:rsid w:val="272931C9"/>
    <w:rsid w:val="29487979"/>
    <w:rsid w:val="2B3A0F56"/>
    <w:rsid w:val="2BEE01C4"/>
    <w:rsid w:val="2C635A7A"/>
    <w:rsid w:val="2C8C3727"/>
    <w:rsid w:val="2C8F5E9E"/>
    <w:rsid w:val="2D282801"/>
    <w:rsid w:val="2E5E775F"/>
    <w:rsid w:val="2E5F4A47"/>
    <w:rsid w:val="2E932F9F"/>
    <w:rsid w:val="2F3E27ED"/>
    <w:rsid w:val="31A05D63"/>
    <w:rsid w:val="332758D9"/>
    <w:rsid w:val="33651618"/>
    <w:rsid w:val="33A057FC"/>
    <w:rsid w:val="35A26F65"/>
    <w:rsid w:val="37725BAD"/>
    <w:rsid w:val="39215515"/>
    <w:rsid w:val="39B83106"/>
    <w:rsid w:val="3A197BAD"/>
    <w:rsid w:val="3A7014F6"/>
    <w:rsid w:val="3D7026EC"/>
    <w:rsid w:val="3D741FB5"/>
    <w:rsid w:val="3DB510CB"/>
    <w:rsid w:val="3E88046C"/>
    <w:rsid w:val="3FB60A2A"/>
    <w:rsid w:val="400E48B8"/>
    <w:rsid w:val="41EC7673"/>
    <w:rsid w:val="42AE14A1"/>
    <w:rsid w:val="42B12E5E"/>
    <w:rsid w:val="440614C1"/>
    <w:rsid w:val="440704B2"/>
    <w:rsid w:val="45036725"/>
    <w:rsid w:val="452409DA"/>
    <w:rsid w:val="461453A6"/>
    <w:rsid w:val="46715347"/>
    <w:rsid w:val="47170B34"/>
    <w:rsid w:val="47BA61A5"/>
    <w:rsid w:val="4C787042"/>
    <w:rsid w:val="4D611013"/>
    <w:rsid w:val="4E2E203F"/>
    <w:rsid w:val="4E4409E8"/>
    <w:rsid w:val="4EF52A6C"/>
    <w:rsid w:val="4F712071"/>
    <w:rsid w:val="4FF96014"/>
    <w:rsid w:val="500816A0"/>
    <w:rsid w:val="50713EF6"/>
    <w:rsid w:val="51F51034"/>
    <w:rsid w:val="543133CC"/>
    <w:rsid w:val="574D087A"/>
    <w:rsid w:val="57553483"/>
    <w:rsid w:val="59692D24"/>
    <w:rsid w:val="5A42510F"/>
    <w:rsid w:val="5B2412BC"/>
    <w:rsid w:val="5C4D39F0"/>
    <w:rsid w:val="5EB62661"/>
    <w:rsid w:val="61422017"/>
    <w:rsid w:val="645D7E9D"/>
    <w:rsid w:val="646166C6"/>
    <w:rsid w:val="65B545FD"/>
    <w:rsid w:val="671D417E"/>
    <w:rsid w:val="69042339"/>
    <w:rsid w:val="69BF4FDE"/>
    <w:rsid w:val="6AB03495"/>
    <w:rsid w:val="6C3A473A"/>
    <w:rsid w:val="6D555EBF"/>
    <w:rsid w:val="6F90001F"/>
    <w:rsid w:val="6F9554C2"/>
    <w:rsid w:val="70366BC0"/>
    <w:rsid w:val="709C3622"/>
    <w:rsid w:val="732B328E"/>
    <w:rsid w:val="745C4C8E"/>
    <w:rsid w:val="75F21FB4"/>
    <w:rsid w:val="76082E6F"/>
    <w:rsid w:val="77551058"/>
    <w:rsid w:val="788A444E"/>
    <w:rsid w:val="7B1A118D"/>
    <w:rsid w:val="7B870DBF"/>
    <w:rsid w:val="7D5C269E"/>
    <w:rsid w:val="7DFE7000"/>
    <w:rsid w:val="7F0E5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8E99-0876-4457-84BE-74A901AF7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1212</Words>
  <Characters>6911</Characters>
  <Lines>57</Lines>
  <Paragraphs>16</Paragraphs>
  <TotalTime>1</TotalTime>
  <ScaleCrop>false</ScaleCrop>
  <LinksUpToDate>false</LinksUpToDate>
  <CharactersWithSpaces>8107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2021-08-03T01:03:00Z</dcterms:created>
  <dc:creator>李航 null</dc:creator>
  <cp:lastModifiedBy>紫水灵儿</cp:lastModifiedBy>
  <cp:lastPrinted>2021-07-28T00:12:00Z</cp:lastPrinted>
  <dcterms:modified xsi:type="dcterms:W3CDTF">2022-06-17T01:11:00Z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3848F2A3CB654EF0AC1D6E6DFCB8BF24</vt:lpwstr>
  </property>
</Properties>
</file>