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5" w:rsidRDefault="003E4215">
      <w:pPr>
        <w:spacing w:line="640" w:lineRule="exact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3E4215" w:rsidRDefault="003E4215">
      <w:pPr>
        <w:spacing w:line="640" w:lineRule="exact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3E4215" w:rsidRDefault="003E4215">
      <w:pPr>
        <w:spacing w:line="640" w:lineRule="exact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3E4215" w:rsidRDefault="003E4215">
      <w:pPr>
        <w:spacing w:line="640" w:lineRule="exact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3E4215" w:rsidRDefault="0020716B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千人以上饮用水水源地环境问题整治完成情况的报告</w:t>
      </w:r>
    </w:p>
    <w:p w:rsidR="003E4215" w:rsidRDefault="003E4215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3E4215" w:rsidRDefault="0020716B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资阳区</w:t>
      </w:r>
      <w:r>
        <w:rPr>
          <w:rFonts w:ascii="仿宋" w:eastAsia="仿宋" w:hAnsi="仿宋" w:cs="仿宋" w:hint="eastAsia"/>
          <w:sz w:val="32"/>
          <w:szCs w:val="32"/>
        </w:rPr>
        <w:t>人民政府：</w:t>
      </w:r>
    </w:p>
    <w:p w:rsidR="003E4215" w:rsidRDefault="0020716B">
      <w:pPr>
        <w:spacing w:line="640" w:lineRule="exact"/>
        <w:ind w:firstLine="640"/>
        <w:rPr>
          <w:rFonts w:ascii="Arial" w:eastAsia="仿宋" w:hAnsi="Arial" w:cs="Arial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</w:t>
      </w:r>
      <w:r>
        <w:rPr>
          <w:rFonts w:ascii="Arial" w:eastAsia="仿宋" w:hAnsi="Arial" w:cs="Arial" w:hint="eastAsia"/>
          <w:sz w:val="32"/>
          <w:szCs w:val="32"/>
        </w:rPr>
        <w:t>益阳市</w:t>
      </w:r>
      <w:r>
        <w:rPr>
          <w:rFonts w:ascii="仿宋" w:eastAsia="仿宋" w:hAnsi="仿宋" w:cs="仿宋" w:hint="eastAsia"/>
          <w:sz w:val="32"/>
          <w:szCs w:val="32"/>
        </w:rPr>
        <w:t>2022年“千人以上”饮用水水源地环境问题专项整治工作方案》的要求，总序号582、分序号44资阳区长春镇杨树村杨树水厂地下水饮用水水源保护区“一级保护区界标、宣传牌、交通警示牌、隔离防护网不完善”和“一级保护区内2户居民约7人，无污水处理设施”</w:t>
      </w:r>
      <w:r>
        <w:rPr>
          <w:rFonts w:ascii="Arial" w:eastAsia="仿宋" w:hAnsi="Arial" w:cs="Arial" w:hint="eastAsia"/>
          <w:sz w:val="32"/>
          <w:szCs w:val="32"/>
        </w:rPr>
        <w:t>的问题由我园区</w:t>
      </w:r>
      <w:bookmarkStart w:id="0" w:name="_GoBack"/>
      <w:bookmarkEnd w:id="0"/>
      <w:r>
        <w:rPr>
          <w:rFonts w:ascii="Arial" w:eastAsia="仿宋" w:hAnsi="Arial" w:cs="Arial" w:hint="eastAsia"/>
          <w:sz w:val="32"/>
          <w:szCs w:val="32"/>
        </w:rPr>
        <w:t>承担整治任务，已完成整治，现将整治情况报告如下：</w:t>
      </w:r>
    </w:p>
    <w:p w:rsidR="003E4215" w:rsidRDefault="0020716B">
      <w:pPr>
        <w:numPr>
          <w:ilvl w:val="0"/>
          <w:numId w:val="1"/>
        </w:numPr>
        <w:spacing w:line="6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:rsidR="003E4215" w:rsidRDefault="0020716B">
      <w:pPr>
        <w:spacing w:line="6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长春镇</w:t>
      </w:r>
      <w:r>
        <w:rPr>
          <w:rFonts w:ascii="仿宋" w:eastAsia="仿宋" w:hAnsi="仿宋" w:cs="仿宋" w:hint="eastAsia"/>
          <w:sz w:val="36"/>
          <w:szCs w:val="36"/>
        </w:rPr>
        <w:t>杨树村杨树水厂</w:t>
      </w:r>
      <w:r>
        <w:rPr>
          <w:rFonts w:ascii="仿宋" w:eastAsia="仿宋" w:hAnsi="仿宋" w:cs="仿宋" w:hint="eastAsia"/>
          <w:sz w:val="32"/>
          <w:szCs w:val="32"/>
        </w:rPr>
        <w:t>位于资阳区长春镇杨树村，现属于长春经开区管辖地范围，位于益阳市北郊。根据</w:t>
      </w:r>
      <w:bookmarkStart w:id="1" w:name="_Hlk49845159"/>
      <w:r>
        <w:rPr>
          <w:rFonts w:ascii="仿宋" w:eastAsia="仿宋" w:hAnsi="仿宋" w:cs="仿宋" w:hint="eastAsia"/>
          <w:sz w:val="32"/>
          <w:szCs w:val="32"/>
        </w:rPr>
        <w:t>饮用水水源保护区划分结果</w:t>
      </w:r>
      <w:bookmarkEnd w:id="1"/>
      <w:r>
        <w:rPr>
          <w:rFonts w:ascii="仿宋" w:eastAsia="仿宋" w:hAnsi="仿宋" w:cs="仿宋" w:hint="eastAsia"/>
          <w:sz w:val="32"/>
          <w:szCs w:val="32"/>
        </w:rPr>
        <w:t>，</w:t>
      </w:r>
      <w:bookmarkStart w:id="2" w:name="_Hlk51178556"/>
      <w:r>
        <w:rPr>
          <w:rFonts w:ascii="仿宋" w:eastAsia="仿宋" w:hAnsi="仿宋" w:cs="仿宋" w:hint="eastAsia"/>
          <w:sz w:val="32"/>
          <w:szCs w:val="32"/>
        </w:rPr>
        <w:t>划分后的饮用水水源保护区划分</w:t>
      </w:r>
      <w:bookmarkEnd w:id="2"/>
      <w:r>
        <w:rPr>
          <w:rFonts w:ascii="仿宋" w:eastAsia="仿宋" w:hAnsi="仿宋" w:cs="仿宋" w:hint="eastAsia"/>
          <w:sz w:val="32"/>
          <w:szCs w:val="32"/>
        </w:rPr>
        <w:t>总面积约4355m2，保护区范围内用地类型主要是水厂建设用地、居民住宅建设用地和少量的裸露地表，以荒草地和菜地为主。保护区周边土地使用现状主要以城镇用地为主。</w:t>
      </w:r>
    </w:p>
    <w:p w:rsidR="003E4215" w:rsidRDefault="0020716B">
      <w:pPr>
        <w:spacing w:line="6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设计现状年2011年，受益人口7641人；设计水平年2021年，受益人口8033人；供水规模为520m3/a。</w:t>
      </w:r>
    </w:p>
    <w:p w:rsidR="003E4215" w:rsidRDefault="0020716B">
      <w:pPr>
        <w:spacing w:line="6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二、整治措施</w:t>
      </w:r>
    </w:p>
    <w:p w:rsidR="003E4215" w:rsidRDefault="0020716B">
      <w:pPr>
        <w:spacing w:line="640" w:lineRule="exact"/>
        <w:ind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为</w:t>
      </w:r>
      <w:r>
        <w:rPr>
          <w:rFonts w:ascii="仿宋" w:eastAsia="仿宋" w:hAnsi="仿宋" w:cs="黑体"/>
          <w:sz w:val="32"/>
          <w:szCs w:val="32"/>
        </w:rPr>
        <w:t>认真落实整改要求，</w:t>
      </w:r>
      <w:r>
        <w:rPr>
          <w:rFonts w:ascii="Arial" w:eastAsia="仿宋" w:hAnsi="Arial" w:cs="Arial" w:hint="eastAsia"/>
          <w:sz w:val="32"/>
          <w:szCs w:val="32"/>
        </w:rPr>
        <w:t>长春经开区管委会</w:t>
      </w:r>
      <w:r>
        <w:rPr>
          <w:rFonts w:ascii="Arial" w:eastAsia="仿宋" w:hAnsi="Arial" w:cs="Arial"/>
          <w:sz w:val="32"/>
          <w:szCs w:val="32"/>
        </w:rPr>
        <w:t>成立了专项整治工作领导小组</w:t>
      </w:r>
      <w:r>
        <w:rPr>
          <w:rFonts w:ascii="Arial" w:eastAsia="仿宋" w:hAnsi="Arial" w:cs="Arial" w:hint="eastAsia"/>
          <w:sz w:val="32"/>
          <w:szCs w:val="32"/>
        </w:rPr>
        <w:t>，</w:t>
      </w:r>
      <w:r>
        <w:rPr>
          <w:rFonts w:ascii="Arial" w:eastAsia="仿宋" w:hAnsi="Arial" w:cs="Arial"/>
          <w:sz w:val="32"/>
          <w:szCs w:val="32"/>
        </w:rPr>
        <w:t>制定了专项整治方案，对</w:t>
      </w:r>
      <w:r>
        <w:rPr>
          <w:rFonts w:ascii="Arial" w:eastAsia="仿宋" w:hAnsi="Arial" w:cs="Arial" w:hint="eastAsia"/>
          <w:sz w:val="32"/>
          <w:szCs w:val="32"/>
        </w:rPr>
        <w:t>杨树村杨树水厂地下水饮用水水源保护区</w:t>
      </w:r>
      <w:r>
        <w:rPr>
          <w:rFonts w:ascii="Arial" w:eastAsia="仿宋" w:hAnsi="Arial" w:cs="Arial"/>
          <w:sz w:val="32"/>
          <w:szCs w:val="32"/>
        </w:rPr>
        <w:t>按照技术规范</w:t>
      </w:r>
      <w:r>
        <w:rPr>
          <w:rFonts w:ascii="Arial" w:eastAsia="仿宋" w:hAnsi="Arial" w:cs="Arial" w:hint="eastAsia"/>
          <w:sz w:val="32"/>
          <w:szCs w:val="32"/>
        </w:rPr>
        <w:t>的</w:t>
      </w:r>
      <w:r>
        <w:rPr>
          <w:rFonts w:ascii="Arial" w:eastAsia="仿宋" w:hAnsi="Arial" w:cs="Arial"/>
          <w:sz w:val="32"/>
          <w:szCs w:val="32"/>
        </w:rPr>
        <w:t>要求设置了界标、宣传牌、交通警示牌和隔离防护</w:t>
      </w:r>
      <w:r>
        <w:rPr>
          <w:rFonts w:ascii="Arial" w:eastAsia="仿宋" w:hAnsi="Arial" w:cs="Arial" w:hint="eastAsia"/>
          <w:sz w:val="32"/>
          <w:szCs w:val="32"/>
        </w:rPr>
        <w:t>措施</w:t>
      </w:r>
      <w:r>
        <w:rPr>
          <w:rFonts w:ascii="Arial" w:eastAsia="仿宋" w:hAnsi="Arial" w:cs="Arial"/>
          <w:sz w:val="32"/>
          <w:szCs w:val="32"/>
        </w:rPr>
        <w:t>。</w:t>
      </w:r>
    </w:p>
    <w:p w:rsidR="003E4215" w:rsidRDefault="0020716B">
      <w:pPr>
        <w:spacing w:line="6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三、完成情况</w:t>
      </w:r>
    </w:p>
    <w:p w:rsidR="003E4215" w:rsidRDefault="0020716B">
      <w:pPr>
        <w:spacing w:line="640" w:lineRule="exact"/>
        <w:ind w:firstLine="640"/>
        <w:rPr>
          <w:rFonts w:ascii="仿宋" w:eastAsia="仿宋" w:hAnsi="仿宋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已按照</w:t>
      </w:r>
      <w:r>
        <w:rPr>
          <w:rFonts w:ascii="Arial" w:eastAsia="仿宋" w:hAnsi="Arial" w:cs="Arial"/>
          <w:sz w:val="32"/>
          <w:szCs w:val="32"/>
        </w:rPr>
        <w:t>技术规范的要求</w:t>
      </w:r>
      <w:r>
        <w:rPr>
          <w:rFonts w:ascii="Arial" w:eastAsia="仿宋" w:hAnsi="Arial" w:cs="Arial" w:hint="eastAsia"/>
          <w:sz w:val="32"/>
          <w:szCs w:val="32"/>
        </w:rPr>
        <w:t>完成安装两户居民污水处理设施、</w:t>
      </w:r>
      <w:r>
        <w:rPr>
          <w:rFonts w:ascii="Arial" w:eastAsia="仿宋" w:hAnsi="Arial" w:cs="Arial" w:hint="eastAsia"/>
          <w:sz w:val="32"/>
          <w:szCs w:val="32"/>
        </w:rPr>
        <w:t>7</w:t>
      </w:r>
      <w:r>
        <w:rPr>
          <w:rFonts w:ascii="Arial" w:eastAsia="仿宋" w:hAnsi="Arial" w:cs="Arial" w:hint="eastAsia"/>
          <w:sz w:val="32"/>
          <w:szCs w:val="32"/>
        </w:rPr>
        <w:t>块</w:t>
      </w:r>
      <w:r>
        <w:rPr>
          <w:rFonts w:ascii="Arial" w:eastAsia="仿宋" w:hAnsi="Arial" w:cs="Arial"/>
          <w:sz w:val="32"/>
          <w:szCs w:val="32"/>
        </w:rPr>
        <w:t>界标</w:t>
      </w:r>
      <w:r>
        <w:rPr>
          <w:rFonts w:ascii="Arial" w:eastAsia="仿宋" w:hAnsi="Arial" w:cs="Arial" w:hint="eastAsia"/>
          <w:sz w:val="32"/>
          <w:szCs w:val="32"/>
        </w:rPr>
        <w:t>、</w:t>
      </w:r>
      <w:r>
        <w:rPr>
          <w:rFonts w:ascii="Arial" w:eastAsia="仿宋" w:hAnsi="Arial" w:cs="Arial" w:hint="eastAsia"/>
          <w:sz w:val="32"/>
          <w:szCs w:val="32"/>
        </w:rPr>
        <w:t>2</w:t>
      </w:r>
      <w:r>
        <w:rPr>
          <w:rFonts w:ascii="Arial" w:eastAsia="仿宋" w:hAnsi="Arial" w:cs="Arial" w:hint="eastAsia"/>
          <w:sz w:val="32"/>
          <w:szCs w:val="32"/>
        </w:rPr>
        <w:t>块</w:t>
      </w:r>
      <w:r>
        <w:rPr>
          <w:rFonts w:ascii="Arial" w:eastAsia="仿宋" w:hAnsi="Arial" w:cs="Arial"/>
          <w:sz w:val="32"/>
          <w:szCs w:val="32"/>
        </w:rPr>
        <w:t>宣传牌、</w:t>
      </w:r>
      <w:r>
        <w:rPr>
          <w:rFonts w:ascii="Arial" w:eastAsia="仿宋" w:hAnsi="Arial" w:cs="Arial" w:hint="eastAsia"/>
          <w:sz w:val="32"/>
          <w:szCs w:val="32"/>
        </w:rPr>
        <w:t>4</w:t>
      </w:r>
      <w:r>
        <w:rPr>
          <w:rFonts w:ascii="Arial" w:eastAsia="仿宋" w:hAnsi="Arial" w:cs="Arial" w:hint="eastAsia"/>
          <w:sz w:val="32"/>
          <w:szCs w:val="32"/>
        </w:rPr>
        <w:t>块</w:t>
      </w:r>
      <w:r>
        <w:rPr>
          <w:rFonts w:ascii="Arial" w:eastAsia="仿宋" w:hAnsi="Arial" w:cs="Arial"/>
          <w:sz w:val="32"/>
          <w:szCs w:val="32"/>
        </w:rPr>
        <w:t>交通警示牌的</w:t>
      </w:r>
      <w:r>
        <w:rPr>
          <w:rFonts w:ascii="Arial" w:eastAsia="仿宋" w:hAnsi="Arial" w:cs="Arial" w:hint="eastAsia"/>
          <w:sz w:val="32"/>
          <w:szCs w:val="32"/>
        </w:rPr>
        <w:t>设置。</w:t>
      </w:r>
    </w:p>
    <w:p w:rsidR="003E4215" w:rsidRDefault="003E4215">
      <w:pPr>
        <w:spacing w:line="640" w:lineRule="exact"/>
        <w:ind w:firstLine="640"/>
        <w:rPr>
          <w:rFonts w:ascii="Arial" w:eastAsia="仿宋" w:hAnsi="Arial" w:cs="Arial"/>
          <w:sz w:val="32"/>
          <w:szCs w:val="32"/>
        </w:rPr>
      </w:pPr>
    </w:p>
    <w:p w:rsidR="003E4215" w:rsidRDefault="003E4215">
      <w:pPr>
        <w:spacing w:line="640" w:lineRule="exact"/>
        <w:ind w:firstLine="640"/>
        <w:jc w:val="right"/>
        <w:rPr>
          <w:rFonts w:ascii="Arial" w:eastAsia="仿宋" w:hAnsi="Arial" w:cs="Arial"/>
          <w:sz w:val="32"/>
          <w:szCs w:val="32"/>
        </w:rPr>
      </w:pPr>
    </w:p>
    <w:p w:rsidR="00E7329B" w:rsidRPr="00E7329B" w:rsidRDefault="006A0206" w:rsidP="00E7329B">
      <w:pPr>
        <w:spacing w:line="64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 w:rsidR="00E7329B">
        <w:rPr>
          <w:rFonts w:ascii="仿宋" w:eastAsia="仿宋" w:hAnsi="仿宋" w:cs="仿宋" w:hint="eastAsia"/>
          <w:sz w:val="32"/>
          <w:szCs w:val="32"/>
        </w:rPr>
        <w:t>湖南益阳长春经济开发区管理委</w:t>
      </w:r>
      <w:r>
        <w:rPr>
          <w:rFonts w:ascii="仿宋" w:eastAsia="仿宋" w:hAnsi="仿宋" w:cs="仿宋" w:hint="eastAsia"/>
          <w:sz w:val="32"/>
          <w:szCs w:val="32"/>
        </w:rPr>
        <w:t>员</w:t>
      </w:r>
      <w:r w:rsidR="00E7329B" w:rsidRPr="00E7329B">
        <w:rPr>
          <w:rFonts w:ascii="仿宋" w:eastAsia="仿宋" w:hAnsi="仿宋" w:cs="仿宋" w:hint="eastAsia"/>
          <w:sz w:val="32"/>
          <w:szCs w:val="32"/>
        </w:rPr>
        <w:t>会</w:t>
      </w:r>
    </w:p>
    <w:p w:rsidR="00E7329B" w:rsidRPr="00E7329B" w:rsidRDefault="00E7329B" w:rsidP="00E7329B">
      <w:pPr>
        <w:spacing w:line="64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 w:rsidRPr="00E7329B">
        <w:rPr>
          <w:rFonts w:ascii="仿宋" w:eastAsia="仿宋" w:hAnsi="仿宋" w:cs="仿宋" w:hint="eastAsia"/>
          <w:sz w:val="32"/>
          <w:szCs w:val="32"/>
        </w:rPr>
        <w:t>2022年6月30日</w:t>
      </w:r>
    </w:p>
    <w:p w:rsidR="003E4215" w:rsidRDefault="0020716B" w:rsidP="00E7329B">
      <w:pPr>
        <w:spacing w:line="640" w:lineRule="exact"/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</w:t>
      </w:r>
    </w:p>
    <w:p w:rsidR="003E4215" w:rsidRDefault="003E4215">
      <w:pPr>
        <w:spacing w:line="640" w:lineRule="exact"/>
        <w:rPr>
          <w:rFonts w:ascii="Arial" w:eastAsia="仿宋" w:hAnsi="Arial" w:cs="Arial"/>
          <w:sz w:val="32"/>
          <w:szCs w:val="32"/>
        </w:rPr>
      </w:pPr>
    </w:p>
    <w:p w:rsidR="003E4215" w:rsidRDefault="003E4215"/>
    <w:sectPr w:rsidR="003E4215" w:rsidSect="003E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2D" w:rsidRDefault="00C70F2D" w:rsidP="00E7329B">
      <w:r>
        <w:separator/>
      </w:r>
    </w:p>
  </w:endnote>
  <w:endnote w:type="continuationSeparator" w:id="0">
    <w:p w:rsidR="00C70F2D" w:rsidRDefault="00C70F2D" w:rsidP="00E7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2D" w:rsidRDefault="00C70F2D" w:rsidP="00E7329B">
      <w:r>
        <w:separator/>
      </w:r>
    </w:p>
  </w:footnote>
  <w:footnote w:type="continuationSeparator" w:id="0">
    <w:p w:rsidR="00C70F2D" w:rsidRDefault="00C70F2D" w:rsidP="00E73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A94F55"/>
    <w:multiLevelType w:val="singleLevel"/>
    <w:tmpl w:val="C4A94F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xNDhmYjYxNWY4ZWZkNzhiNmVlNDZjMzA4NGEwNDIifQ=="/>
  </w:docVars>
  <w:rsids>
    <w:rsidRoot w:val="35C054E8"/>
    <w:rsid w:val="0020716B"/>
    <w:rsid w:val="003E4215"/>
    <w:rsid w:val="006A0206"/>
    <w:rsid w:val="00BF1CA6"/>
    <w:rsid w:val="00C70F2D"/>
    <w:rsid w:val="00E7329B"/>
    <w:rsid w:val="13FC0705"/>
    <w:rsid w:val="35C0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29B"/>
    <w:rPr>
      <w:kern w:val="2"/>
      <w:sz w:val="18"/>
      <w:szCs w:val="18"/>
    </w:rPr>
  </w:style>
  <w:style w:type="paragraph" w:styleId="a4">
    <w:name w:val="footer"/>
    <w:basedOn w:val="a"/>
    <w:link w:val="Char0"/>
    <w:rsid w:val="00E73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2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泽文</dc:creator>
  <cp:lastModifiedBy>Administrator</cp:lastModifiedBy>
  <cp:revision>3</cp:revision>
  <dcterms:created xsi:type="dcterms:W3CDTF">2022-07-13T08:02:00Z</dcterms:created>
  <dcterms:modified xsi:type="dcterms:W3CDTF">2022-07-13T08:03:00Z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09B3E50F0819432C887E53A8CD74C35A</vt:lpwstr>
  </property>
</Properties>
</file>