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资阳</w:t>
      </w:r>
      <w:r>
        <w:rPr>
          <w:rFonts w:hint="eastAsia" w:ascii="黑体" w:hAnsi="黑体" w:eastAsia="黑体" w:cs="黑体"/>
          <w:sz w:val="44"/>
          <w:szCs w:val="44"/>
        </w:rPr>
        <w:t>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农村残疾人阳光增收计划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2022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资阳区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残疾人农村实用技术培训工作，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益阳市残联《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关于印发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 年度益阳市残疾人职业技能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提升培训、农村残疾人阳光增收和乡村残疾人人才培育实施方案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&gt;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益残联〔2022〕4 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）文件精神，区残联拟实施“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农村残疾人阳光增收计划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（以下简称增收计划）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,充分调动我区残疾人自主致富的劳动积极性，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增强残疾人家庭自我“造血”能力,巩固</w:t>
      </w:r>
      <w:r>
        <w:rPr>
          <w:rFonts w:hint="default" w:ascii="仿宋_GB2312" w:eastAsia="仿宋_GB2312"/>
          <w:spacing w:val="0"/>
          <w:sz w:val="32"/>
          <w:szCs w:val="32"/>
          <w:lang w:val="en-US" w:eastAsia="zh-CN"/>
        </w:rPr>
        <w:t>拓展脱贫攻坚成果同乡村振兴有效衔接。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一、培训内容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一是种植业、养殖业、农产品加工及销售等农村实用技术培训；二是涉农政策、法律法规、安全生产等知识，为提高残疾人综合生产能力和残疾人持续增收服务。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二、培训时间、人数、对象及方式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培训时间：按农时季节所需实用技术适时培训。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培训人数：总人数为45人。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培训对象：具有资阳区户籍，持有中华人民共和国残疾人证，处于就业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年龄段，有培训意愿，具备参加专门培训的条件和能力。增收计划对象还需满足下列条件之一：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1.农村享受低保残疾人、原建档立卡残疾人、特困救助供养残疾人等。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2.经认定,家庭人均收入低于当地低保标准 1.5 倍左右的农村低收入残疾人。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3.一户多残、以老养残等特殊困难家庭中的残疾人。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4.经相关部门认定或村委会推荐困难家庭中的残疾人。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5.以上情况中的重度残疾人家庭的一位成员（需为残疾人的直系亲属或监护人）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培训方式：采用理论+实践相结合，一是进村集中培训，二是实训基地实际操作相结合进行培训。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三、承办机构及承办方式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承办机构：益阳市赫山区龙门职业技术培训学校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承办方式：政府购买服务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扶持方式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所有参加增收计划的残疾学员，除培训外，还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给予与培训内容相匹配的种苗、肥料、饲料等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物资。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000000"/>
    <w:rsid w:val="04E823B5"/>
    <w:rsid w:val="07A833F5"/>
    <w:rsid w:val="08F45A57"/>
    <w:rsid w:val="0EFE2087"/>
    <w:rsid w:val="14C23A8D"/>
    <w:rsid w:val="1C6044F3"/>
    <w:rsid w:val="23335FE6"/>
    <w:rsid w:val="24CC6245"/>
    <w:rsid w:val="2737738D"/>
    <w:rsid w:val="275F4B1D"/>
    <w:rsid w:val="27CF3B30"/>
    <w:rsid w:val="2C2F37CF"/>
    <w:rsid w:val="2D3E1C66"/>
    <w:rsid w:val="2E25191B"/>
    <w:rsid w:val="2EEA73CC"/>
    <w:rsid w:val="38FF4CE3"/>
    <w:rsid w:val="40537F6D"/>
    <w:rsid w:val="431B6D97"/>
    <w:rsid w:val="477577A7"/>
    <w:rsid w:val="4E9E1585"/>
    <w:rsid w:val="4F862C16"/>
    <w:rsid w:val="527B4A1C"/>
    <w:rsid w:val="53FA4E31"/>
    <w:rsid w:val="5C716EEB"/>
    <w:rsid w:val="5DBF489A"/>
    <w:rsid w:val="6E702D90"/>
    <w:rsid w:val="7A2D6522"/>
    <w:rsid w:val="7B1F205B"/>
    <w:rsid w:val="7C8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874</Characters>
  <Lines>0</Lines>
  <Paragraphs>0</Paragraphs>
  <TotalTime>2</TotalTime>
  <ScaleCrop>false</ScaleCrop>
  <LinksUpToDate>false</LinksUpToDate>
  <CharactersWithSpaces>1022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贺婷</cp:lastModifiedBy>
  <cp:lastPrinted>2022-05-19T01:09:00Z</cp:lastPrinted>
  <dcterms:modified xsi:type="dcterms:W3CDTF">2022-05-19T03:15:14Z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B343AB27443B452581B45D6C66436455</vt:lpwstr>
  </property>
</Properties>
</file>