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6"/>
          <w:sz w:val="44"/>
          <w:szCs w:val="44"/>
        </w:rPr>
        <w:t>益阳市资阳区“十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6"/>
          <w:sz w:val="44"/>
          <w:szCs w:val="44"/>
        </w:rPr>
        <w:t>四五”公共文化服务发展规划</w:t>
      </w:r>
    </w:p>
    <w:p>
      <w:pPr>
        <w:pStyle w:val="2"/>
        <w:jc w:val="center"/>
        <w:rPr>
          <w:rFonts w:hint="eastAsia" w:eastAsia="方正小标宋简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6"/>
          <w:sz w:val="44"/>
          <w:szCs w:val="44"/>
          <w:lang w:eastAsia="zh-CN"/>
        </w:rPr>
        <w:t>（征求意见稿）</w:t>
      </w:r>
    </w:p>
    <w:p>
      <w:pPr>
        <w:pStyle w:val="2"/>
        <w:spacing w:line="600" w:lineRule="exact"/>
        <w:rPr>
          <w:color w:val="000000" w:themeColor="text1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为进一步推进我区公共文化服务发展，根据《“十四五”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公共文化服务体系建设规划》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、《湖南省公共文化服务体系高质量发展五年行动计划(2021年-2025年)》（湘文旅公共〔2021〕85号）等文件精神，结合我区实际，制定本规划。</w:t>
      </w:r>
    </w:p>
    <w:p>
      <w:pPr>
        <w:snapToGrid w:val="0"/>
        <w:spacing w:line="600" w:lineRule="exact"/>
        <w:ind w:firstLine="640" w:firstLineChars="200"/>
        <w:textAlignment w:val="baseline"/>
        <w:rPr>
          <w:rFonts w:ascii="黑体" w:hAnsi="黑体" w:eastAsia="黑体" w:cs="黑体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</w:rPr>
        <w:t>一、发展目标</w:t>
      </w:r>
    </w:p>
    <w:p>
      <w:pPr>
        <w:snapToGrid w:val="0"/>
        <w:spacing w:line="600" w:lineRule="exact"/>
        <w:ind w:firstLine="624" w:firstLineChars="200"/>
        <w:textAlignment w:val="baseline"/>
        <w:rPr>
          <w:rFonts w:ascii="仿宋_GB2312" w:hAnsi="仿宋_GB2312" w:eastAsia="仿宋_GB2312" w:cs="仿宋_GB2312"/>
          <w:color w:val="000000" w:themeColor="text1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围绕建成文化强区，“十四五”时期全区公共文化服务体系建设目标如下:</w:t>
      </w:r>
    </w:p>
    <w:p>
      <w:pPr>
        <w:snapToGrid w:val="0"/>
        <w:spacing w:line="600" w:lineRule="exact"/>
        <w:ind w:firstLine="624" w:firstLineChars="200"/>
        <w:textAlignment w:val="baseline"/>
        <w:rPr>
          <w:rFonts w:ascii="仿宋_GB2312" w:hAnsi="仿宋_GB2312" w:eastAsia="仿宋_GB2312" w:cs="仿宋_GB2312"/>
          <w:color w:val="000000" w:themeColor="text1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——城乡公共文化服务布局更加均衡。城乡公共文化服务体系一体建设取得重大突破，城乡协同发展机制逐步健全，城乡公共文化服务差距进一步缩小。公共文化服务在保障人民基本文化权益，促进城乡经济社会发展中的重要作用更加凸显。年人均拥有公共文化设施面积增长10%以上。</w:t>
      </w:r>
    </w:p>
    <w:p>
      <w:pPr>
        <w:snapToGrid w:val="0"/>
        <w:spacing w:line="600" w:lineRule="exact"/>
        <w:ind w:firstLine="624" w:firstLineChars="200"/>
        <w:textAlignment w:val="baseline"/>
        <w:rPr>
          <w:rFonts w:ascii="仿宋_GB2312" w:hAnsi="仿宋_GB2312" w:eastAsia="仿宋_GB2312" w:cs="仿宋_GB2312"/>
          <w:color w:val="000000" w:themeColor="text1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——公共文化服务效能发挥更加充分。基本公共文化服务水平与经济社会发展水平同步提升，各公共文化机构开放服务水平和服务效能显著增强，城乡公共文化服务供给能力明显提升。公共文化服务知晓度、参与度、满意度不断提高。年人均接受文化场馆服务次数增长10%以上；每万人公共文化机构开展活动次数增长5%以上。</w:t>
      </w:r>
    </w:p>
    <w:p>
      <w:pPr>
        <w:snapToGrid w:val="0"/>
        <w:spacing w:line="600" w:lineRule="exact"/>
        <w:ind w:firstLine="624" w:firstLineChars="200"/>
        <w:textAlignment w:val="baseline"/>
        <w:rPr>
          <w:rFonts w:ascii="仿宋_GB2312" w:hAnsi="仿宋_GB2312" w:eastAsia="仿宋_GB2312" w:cs="仿宋_GB2312"/>
          <w:color w:val="000000" w:themeColor="text1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——公共文化服务供给方式更加多元。政府主导、社会力量广泛参与的公共文化服务供给机制更加完善，增加一批公共文化体验品质空间，公共文化产品和服务供给多元化、社会化水平显著提升，人民群众享有更加充实、更为丰富、更高质量的精神文化生活。</w:t>
      </w:r>
    </w:p>
    <w:p>
      <w:pPr>
        <w:snapToGrid w:val="0"/>
        <w:spacing w:line="600" w:lineRule="exact"/>
        <w:ind w:firstLine="624" w:firstLineChars="200"/>
        <w:textAlignment w:val="baseline"/>
        <w:rPr>
          <w:rFonts w:ascii="仿宋_GB2312" w:hAnsi="仿宋_GB2312" w:eastAsia="仿宋_GB2312" w:cs="仿宋_GB2312"/>
          <w:color w:val="000000" w:themeColor="text1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——公共文化服务智慧化建设成效更加凸显。区文旅云平台体系更加完善，公共文化场馆智慧化管理和服务水平明显提升，公共数字文化资源更为丰富、产品更加优化、服务更加便捷，公共文化服务数字化应用场景更为广泛，让人民群众在“指尖”和“云上”享受更加便捷的公共文化服务。</w:t>
      </w:r>
    </w:p>
    <w:p>
      <w:pPr>
        <w:snapToGrid w:val="0"/>
        <w:spacing w:line="600" w:lineRule="exact"/>
        <w:ind w:firstLine="640" w:firstLineChars="200"/>
        <w:textAlignment w:val="baseline"/>
        <w:rPr>
          <w:rFonts w:ascii="仿宋_GB2312" w:hAnsi="仿宋_GB2312" w:eastAsia="仿宋_GB2312" w:cs="仿宋_GB2312"/>
          <w:color w:val="000000" w:themeColor="text1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到2025年，全区城乡公共文化服务体系一体建设成效显著，公共文化设施布局更加均衡，公共文化服务水平更加高效，公共文化服务供给方式更加多元，公共文化数字化网络化智慧化取得</w:t>
      </w: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新发展，公共文化服务组织实施机制更加顺畅，基本实现公共文化服务法治化标准化均等化。</w:t>
      </w:r>
    </w:p>
    <w:p>
      <w:pPr>
        <w:snapToGrid w:val="0"/>
        <w:spacing w:line="600" w:lineRule="exact"/>
        <w:ind w:firstLine="640" w:firstLineChars="200"/>
        <w:textAlignment w:val="baseline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二、主要任务</w:t>
      </w:r>
    </w:p>
    <w:p>
      <w:pPr>
        <w:pStyle w:val="2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>（一）推进城乡公共文化服务体系一体建设</w:t>
      </w:r>
    </w:p>
    <w:p>
      <w:pPr>
        <w:spacing w:line="600" w:lineRule="exact"/>
        <w:ind w:firstLine="640" w:firstLineChars="200"/>
        <w:rPr>
          <w:color w:val="000000" w:themeColor="text1"/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深入推进城乡公共文化服务标准化服务体系规划建设。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全面落实《国家基本公共服务标准(2021年版)》。进一步调整完善全区公共文化服务实施标准、服务目录，确保内容无缺项、人群全覆盖、标准不攀高、财力有保障、服务可持续。参照国家公共文化机构评估定级标准，加快完善区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公共图书馆、文化馆（站）和基层综合性文化服务中心等公共文化机构建设、管理、服务和评价标准规范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，健全城乡公共文化服务标准体系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鼓励乡镇（街道、经开区）创新特色文化服务项目，推出特色文化服务标准。强化标准实施，开展标准实施情况监督检查和社会评价，以标准化建设引领公共文化服务质量不断提升。</w:t>
      </w:r>
    </w:p>
    <w:p>
      <w:pPr>
        <w:snapToGrid w:val="0"/>
        <w:spacing w:line="600" w:lineRule="exact"/>
        <w:ind w:firstLine="640" w:firstLineChars="200"/>
        <w:textAlignment w:val="baseline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完善城乡公共文化服务协同发展机制。推进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区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图书馆、文化馆总分馆制建设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，至2025年，各乡镇、街道、经开区均成立分馆，30%以上的村设立服务点。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创新实施文化惠民工程，引导优质文化资源和文化服务更多地向农村倾斜。积极开展流动文化服务，通过流动舞台车、流动图书车、文艺小分队等形式，把文化活动内容送到百姓身边。持续实施“戏曲进乡村”活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，每乡镇每年送戏下乡4场以上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支持培育一批有特色、有影响、惠民生的文化志愿服务项目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完善文化志愿服务记录和激励制度，逐步建立星级文化志愿者认证制度，对服务时间长、表现突出的优秀文化志愿者团队和个人按照有关规定给予表扬奖励。 </w:t>
      </w:r>
    </w:p>
    <w:p>
      <w:pPr>
        <w:widowControl/>
        <w:snapToGrid w:val="0"/>
        <w:spacing w:line="600" w:lineRule="exact"/>
        <w:ind w:firstLine="640" w:firstLineChars="200"/>
        <w:textAlignment w:val="baseline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3.以文化繁荣助力乡村振兴。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将乡村文化建设融入经济社会发展全局，为乡村振兴提供精神文化支撑。以创建乡村公共文化服务“门前十小”示范工程为抓手，持续推进基层综合性文化服务中心建设。推进民间文化艺术之乡创建和“艺术乡村”建设，提升乡村文化建设品质。积极开展“一乡一村一品”文化品牌建设，形成具有区域影响力的乡村名片。整合优质资源，持续开展“戏曲进乡村”“公共数字文化进村入户”等送文化下基层活动。结合乡村旅游重点村镇建设，打造特色乡村文化和旅游品牌，拓展乡村文化和旅游发展新模式。鼓励乡村文艺团队参与乡村文化设施的管理运营和服务，激活基层文化阵地。</w:t>
      </w:r>
    </w:p>
    <w:p>
      <w:pPr>
        <w:snapToGrid w:val="0"/>
        <w:spacing w:line="600" w:lineRule="exact"/>
        <w:ind w:firstLine="624" w:firstLineChars="200"/>
        <w:textAlignment w:val="baseline"/>
        <w:rPr>
          <w:rFonts w:ascii="楷体_GB2312" w:hAnsi="楷体_GB2312" w:eastAsia="楷体_GB2312" w:cs="楷体_GB2312"/>
          <w:color w:val="000000" w:themeColor="text1"/>
          <w:spacing w:val="-4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-4"/>
          <w:sz w:val="32"/>
          <w:szCs w:val="32"/>
        </w:rPr>
        <w:t>（二）建设以人为中心的图书馆</w:t>
      </w:r>
    </w:p>
    <w:p>
      <w:pPr>
        <w:snapToGrid w:val="0"/>
        <w:spacing w:line="600" w:lineRule="exact"/>
        <w:ind w:firstLine="624" w:firstLineChars="200"/>
        <w:textAlignment w:val="baseline"/>
        <w:rPr>
          <w:rFonts w:ascii="仿宋_GB2312" w:hAnsi="仿宋_GB2312" w:eastAsia="仿宋_GB2312" w:cs="仿宋_GB2312"/>
          <w:color w:val="000000" w:themeColor="text1"/>
          <w:spacing w:val="-4"/>
          <w:sz w:val="32"/>
          <w:szCs w:val="32"/>
        </w:rPr>
      </w:pPr>
      <w:r>
        <w:rPr>
          <w:rFonts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推进公共图书馆功能转型升级。适应高质量发展要求，建设开放、智慧、包容、共享的现代图书馆。围绕经济社会发展战略任务，充分发挥文献保障和智库作用，建设区创新文献支持中心。持续优化资源建设方式，完善文献保障体系，创新服务方式，建设区域性知识、信息和学习中心。优化公共图书馆环境和功能，营造融入人民群众日常生活的高品质文化空间，建设有温度的文化社交中心。拓展与深化公共图书馆服务创新，鼓励支持公共图书馆推出一批示范引领作用强的创新项目。探索创新基层图书馆运营模式，结合总分馆制建设，试点推进建设一批管理先进、特色鲜明、与社区融合共生的主题性阅读场所。</w:t>
      </w:r>
    </w:p>
    <w:p>
      <w:pPr>
        <w:snapToGrid w:val="0"/>
        <w:spacing w:line="600" w:lineRule="exact"/>
        <w:ind w:firstLine="624" w:firstLineChars="200"/>
        <w:textAlignment w:val="baseline"/>
        <w:rPr>
          <w:rFonts w:ascii="仿宋_GB2312" w:hAnsi="仿宋_GB2312" w:eastAsia="仿宋_GB2312" w:cs="仿宋_GB2312"/>
          <w:color w:val="000000" w:themeColor="text1"/>
          <w:spacing w:val="-4"/>
          <w:sz w:val="32"/>
          <w:szCs w:val="32"/>
        </w:rPr>
      </w:pPr>
      <w:r>
        <w:rPr>
          <w:rFonts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广泛开展全民阅读活动。不断丰富以阅读为核心的综合性文化服务，建设书香社会。围绕世界读书日、图书馆服务宣传周、全民读书月</w:t>
      </w: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等</w:t>
      </w:r>
      <w:r>
        <w:rPr>
          <w:rFonts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，深入开展系列阅读推广活动。加大党史、新中国史、改革开放史、社会主义发展史等重点出版物的阅读内容引领。树立“大阅读”“悦读”理念，培育具有时代感的城乡阅读品牌。实施青少年阅读素养提升计划，推荐一批高质量少年儿童图书。</w:t>
      </w: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根据</w:t>
      </w:r>
      <w:r>
        <w:rPr>
          <w:rFonts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公众阅读习惯和媒介传播方式变化，通过新媒体广泛开展在线阅读推广活动。与出版社、品牌书店、上网服务场所和互联网平台等联合开展阅读推广活动。依托公共图书馆汇聚、培育一批领读者、阅读推广人、阅读社群。推广读者积分激励机制。</w:t>
      </w:r>
    </w:p>
    <w:p>
      <w:pPr>
        <w:snapToGrid w:val="0"/>
        <w:spacing w:line="600" w:lineRule="exact"/>
        <w:ind w:firstLine="624" w:firstLineChars="200"/>
        <w:textAlignment w:val="baseline"/>
        <w:rPr>
          <w:rFonts w:ascii="仿宋_GB2312" w:hAnsi="仿宋_GB2312" w:eastAsia="仿宋_GB2312" w:cs="仿宋_GB2312"/>
          <w:color w:val="000000" w:themeColor="text1"/>
          <w:spacing w:val="-4"/>
          <w:sz w:val="32"/>
          <w:szCs w:val="32"/>
        </w:rPr>
      </w:pPr>
      <w:r>
        <w:rPr>
          <w:rFonts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加强古籍整理保护和传承利用。结合实施中华文化资源普查工程，深入开展古籍普查，掌握</w:t>
      </w: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全区</w:t>
      </w:r>
      <w:r>
        <w:rPr>
          <w:rFonts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古籍存藏情况。加强古籍保护数字化建设，</w:t>
      </w: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积极申报</w:t>
      </w:r>
      <w:r>
        <w:rPr>
          <w:rFonts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中华古籍影像数据库、全文数据库、大数据平台等建设项目，促进古籍数字资源便捷使用和开放共享。加强古籍在公共文化服务中的应用。组织开展古籍知识讲座、展览、互动体验、数字化体验等推广活动，实施中华经典诵读工程和中华经典传习计划，加强古籍创意产品开发。</w:t>
      </w:r>
    </w:p>
    <w:p>
      <w:pPr>
        <w:snapToGrid w:val="0"/>
        <w:spacing w:line="600" w:lineRule="exact"/>
        <w:ind w:firstLine="624" w:firstLineChars="200"/>
        <w:textAlignment w:val="baseline"/>
        <w:rPr>
          <w:rFonts w:ascii="楷体_GB2312" w:hAnsi="楷体_GB2312" w:eastAsia="楷体_GB2312" w:cs="楷体_GB2312"/>
          <w:color w:val="000000" w:themeColor="text1"/>
          <w:spacing w:val="-4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-4"/>
          <w:sz w:val="32"/>
          <w:szCs w:val="32"/>
        </w:rPr>
        <w:t>（三）繁荣群众文艺</w:t>
      </w:r>
    </w:p>
    <w:p>
      <w:pPr>
        <w:snapToGrid w:val="0"/>
        <w:spacing w:line="600" w:lineRule="exact"/>
        <w:ind w:firstLine="624" w:firstLineChars="200"/>
        <w:textAlignment w:val="baseline"/>
        <w:rPr>
          <w:rFonts w:ascii="仿宋_GB2312" w:hAnsi="仿宋_GB2312" w:eastAsia="仿宋_GB2312" w:cs="仿宋_GB2312"/>
          <w:color w:val="000000" w:themeColor="text1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1. 繁荣基层群众文艺创作。</w:t>
      </w:r>
      <w:r>
        <w:rPr>
          <w:rFonts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加强现代文化馆建设。坚持深入生活，扎根人民，以社会主义核心价值观为引领，把提高质量作为群众文艺作品的生命线，推动各门类群众文艺精品创作。把握群众文艺特点和规律，组织开展重要主题创作，</w:t>
      </w: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每年新创符合时代、符合资阳的作品，力争获湖南省艺术节、群星奖等奖项</w:t>
      </w:r>
      <w:r>
        <w:rPr>
          <w:rFonts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。</w:t>
      </w:r>
    </w:p>
    <w:p>
      <w:pPr>
        <w:snapToGrid w:val="0"/>
        <w:spacing w:line="600" w:lineRule="exact"/>
        <w:ind w:firstLine="624" w:firstLineChars="200"/>
        <w:textAlignment w:val="baseline"/>
        <w:rPr>
          <w:rFonts w:ascii="仿宋_GB2312" w:hAnsi="仿宋_GB2312" w:eastAsia="仿宋_GB2312" w:cs="仿宋_GB2312"/>
          <w:color w:val="000000" w:themeColor="text1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2. 广泛开展群众文化活动。</w:t>
      </w:r>
      <w:r>
        <w:rPr>
          <w:rFonts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健全群众性文化活动机制</w:t>
      </w: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，广泛开展广场舞展演、大众合唱节等群众喜闻乐见的文化活动。</w:t>
      </w:r>
      <w:r>
        <w:rPr>
          <w:rFonts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在重大节点和重要节日开展主题文艺活动，旗帜鲜明唱响主旋律，弘扬正能量。围绕传统节日，注入时代精神和人文内涵，创新开展传统民俗文化活动。推动群众文化活动内容和形式深度创新。</w:t>
      </w:r>
    </w:p>
    <w:p>
      <w:pPr>
        <w:snapToGrid w:val="0"/>
        <w:spacing w:line="600" w:lineRule="exact"/>
        <w:ind w:firstLine="624" w:firstLineChars="200"/>
        <w:textAlignment w:val="baseline"/>
        <w:rPr>
          <w:rFonts w:ascii="仿宋_GB2312" w:hAnsi="仿宋_GB2312" w:eastAsia="仿宋_GB2312" w:cs="仿宋_GB2312"/>
          <w:color w:val="000000" w:themeColor="text1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3. 实施全民艺术普及工程。</w:t>
      </w:r>
      <w:r>
        <w:rPr>
          <w:rFonts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将全民艺术普及作为公共文化服务的重要</w:t>
      </w: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内容</w:t>
      </w:r>
      <w:r>
        <w:rPr>
          <w:rFonts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，设立全民艺术普及周、举办全民艺术节。把</w:t>
      </w: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区</w:t>
      </w:r>
      <w:r>
        <w:rPr>
          <w:rFonts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文化馆打造成为城乡居民的终身美育学校</w:t>
      </w: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，</w:t>
      </w:r>
      <w:r>
        <w:rPr>
          <w:rFonts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常年举办公益性文化艺术讲座、展演、展览、展示和培训活动。依托国家公共文化云平台，建立全民艺术普及云，实现全民艺术普及的线上线下有效联动。推动乡村艺术普及，激发乡村文化活力。</w:t>
      </w:r>
    </w:p>
    <w:p>
      <w:pPr>
        <w:snapToGrid w:val="0"/>
        <w:spacing w:line="600" w:lineRule="exact"/>
        <w:ind w:firstLine="624" w:firstLineChars="200"/>
        <w:textAlignment w:val="baseline"/>
        <w:rPr>
          <w:rFonts w:ascii="楷体_GB2312" w:hAnsi="楷体_GB2312" w:eastAsia="楷体_GB2312" w:cs="楷体_GB2312"/>
          <w:color w:val="000000" w:themeColor="text1"/>
          <w:spacing w:val="-4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-4"/>
          <w:sz w:val="32"/>
          <w:szCs w:val="32"/>
        </w:rPr>
        <w:t>（四）增强公共文化服务实效性</w:t>
      </w:r>
    </w:p>
    <w:p>
      <w:pPr>
        <w:snapToGrid w:val="0"/>
        <w:spacing w:line="600" w:lineRule="exact"/>
        <w:ind w:firstLine="624" w:firstLineChars="200"/>
        <w:textAlignment w:val="baseline"/>
        <w:rPr>
          <w:rFonts w:ascii="仿宋_GB2312" w:hAnsi="仿宋_GB2312" w:eastAsia="仿宋_GB2312" w:cs="仿宋_GB2312"/>
          <w:color w:val="000000" w:themeColor="text1"/>
          <w:spacing w:val="-4"/>
          <w:sz w:val="32"/>
          <w:szCs w:val="32"/>
        </w:rPr>
      </w:pPr>
      <w:r>
        <w:rPr>
          <w:rFonts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提高公共文化服务供给能力。全面落实公共图书馆、文化馆（站）免费开放政策</w:t>
      </w: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，</w:t>
      </w:r>
      <w:r>
        <w:rPr>
          <w:rFonts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积极做好延时、错时和流动服务</w:t>
      </w: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，</w:t>
      </w:r>
      <w:r>
        <w:rPr>
          <w:rFonts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提升公共文化机构的公共安全应急管理能力。根据</w:t>
      </w: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资阳</w:t>
      </w:r>
      <w:r>
        <w:rPr>
          <w:rFonts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实际，优惠提供特色化、多元化、个性化非基本公共文化服务。推动有条件的公共文化机构盘活文化资源，开发文创产品。鼓励公共文化机构与社会力量围绕文化授权、创意设计、生产加工、营销等产业链深度合作。搭建文创产品展示和营销平台，支持优秀文创产品开发合作。支持文化艺术和旅游院校参与公共文化服务供给。</w:t>
      </w:r>
    </w:p>
    <w:p>
      <w:pPr>
        <w:snapToGrid w:val="0"/>
        <w:spacing w:line="600" w:lineRule="exact"/>
        <w:ind w:firstLine="624" w:firstLineChars="200"/>
        <w:textAlignment w:val="baseline"/>
        <w:rPr>
          <w:rFonts w:ascii="仿宋_GB2312" w:hAnsi="仿宋_GB2312" w:eastAsia="仿宋_GB2312" w:cs="仿宋_GB2312"/>
          <w:color w:val="000000" w:themeColor="text1"/>
          <w:spacing w:val="-4"/>
          <w:sz w:val="32"/>
          <w:szCs w:val="32"/>
        </w:rPr>
      </w:pPr>
      <w:r>
        <w:rPr>
          <w:rFonts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精准对接人民群众文化需求。推动建立集需求采集、采购配送、监督管理、反馈互动等于一体的公共文化产品与服务平台。完善“订单式”“菜单式”“预约式”服务机制，加快实现文化资源网上配送、场地网上预订、活动网上预约等功能。针对不同群体文化需求，统筹做好特殊群体公共文化服务供给。积极适应老龄化发展趋势，面向老年人群体开展数字技能和文化艺术培训。面向残障群体，打造无障碍服务体系，支持盲人图书馆等特殊文化服务。鼓励各级各类公共文化机构组建“粉丝”文化社群。</w:t>
      </w:r>
    </w:p>
    <w:p>
      <w:pPr>
        <w:snapToGrid w:val="0"/>
        <w:spacing w:line="600" w:lineRule="exact"/>
        <w:ind w:firstLine="624" w:firstLineChars="200"/>
        <w:textAlignment w:val="baseline"/>
        <w:rPr>
          <w:rFonts w:ascii="仿宋_GB2312" w:hAnsi="仿宋_GB2312" w:eastAsia="仿宋_GB2312" w:cs="仿宋_GB2312"/>
          <w:color w:val="000000" w:themeColor="text1"/>
          <w:spacing w:val="-4"/>
          <w:sz w:val="32"/>
          <w:szCs w:val="32"/>
        </w:rPr>
      </w:pPr>
      <w:r>
        <w:rPr>
          <w:rFonts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积极推动公共文化服务融合发展。统筹各领域资源，推动融合创新，进一步优化公共文化服务发展生态。公共图书馆、文化馆等公共文化机构发挥各自优势，通过联合开展文化活动、展览品牌建设等，形成发展合力。推动文化和旅游融合发展，抓好</w:t>
      </w: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紫薇村综合文化服务中心国家级</w:t>
      </w:r>
      <w:r>
        <w:rPr>
          <w:rFonts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文化和旅游公共服务机构功能融合试点工作</w:t>
      </w: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，打造一批潇湘最美文化阵地</w:t>
      </w:r>
      <w:r>
        <w:rPr>
          <w:rFonts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，树立一批有代表性和推广价值的典型。探索公共文化服务和教育融合路径</w:t>
      </w: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，</w:t>
      </w:r>
      <w:r>
        <w:rPr>
          <w:rFonts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加强公共文化服务与农业、卫生、科普、民政等领域惠民项目融合发展。</w:t>
      </w:r>
    </w:p>
    <w:p>
      <w:pPr>
        <w:snapToGrid w:val="0"/>
        <w:spacing w:line="600" w:lineRule="exact"/>
        <w:ind w:firstLine="624" w:firstLineChars="200"/>
        <w:textAlignment w:val="baseline"/>
        <w:rPr>
          <w:rFonts w:ascii="楷体_GB2312" w:hAnsi="楷体_GB2312" w:eastAsia="楷体_GB2312" w:cs="楷体_GB2312"/>
          <w:color w:val="000000" w:themeColor="text1"/>
          <w:spacing w:val="-4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-4"/>
          <w:sz w:val="32"/>
          <w:szCs w:val="32"/>
        </w:rPr>
        <w:t>（五）推动公共文化服务社会化发展</w:t>
      </w:r>
    </w:p>
    <w:p>
      <w:pPr>
        <w:snapToGrid w:val="0"/>
        <w:spacing w:line="600" w:lineRule="exact"/>
        <w:ind w:firstLine="624" w:firstLineChars="200"/>
        <w:textAlignment w:val="baseline"/>
        <w:rPr>
          <w:rFonts w:ascii="仿宋_GB2312" w:hAnsi="仿宋_GB2312" w:eastAsia="仿宋_GB2312" w:cs="仿宋_GB2312"/>
          <w:color w:val="000000" w:themeColor="text1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持续深化公共文化机构法人治理结构改革。创新公共文化服务运行机制，鼓励社会力量参与公共文化服务供给和设施建设运营。规范政府与社会资本合作模式，引导社会资本参与建设文化项目。支持社会组织和企业参与公共文化设施运营、活动项目打造、服务资源配送等。鼓励社会力量赞助公共文化活动。探索将符合条件的民营新型公共文化空间作为公共图书馆、文化馆分馆。鼓励文艺表演团体开展艺术普及、戏曲传承活动。支持企业事业单位在确保正常工作、教学、生产秩序的前提下，向社会免费或者优惠开放所属文化、体育、科普设施。</w:t>
      </w:r>
    </w:p>
    <w:p>
      <w:pPr>
        <w:snapToGrid w:val="0"/>
        <w:spacing w:line="600" w:lineRule="exact"/>
        <w:ind w:firstLine="624" w:firstLineChars="200"/>
        <w:textAlignment w:val="baseline"/>
        <w:rPr>
          <w:rFonts w:ascii="楷体_GB2312" w:hAnsi="楷体_GB2312" w:eastAsia="楷体_GB2312" w:cs="楷体_GB2312"/>
          <w:color w:val="000000" w:themeColor="text1"/>
          <w:spacing w:val="-4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-4"/>
          <w:sz w:val="32"/>
          <w:szCs w:val="32"/>
        </w:rPr>
        <w:t>（六）推动公共文化服务数字化、网络化、智能化建设</w:t>
      </w:r>
    </w:p>
    <w:p>
      <w:pPr>
        <w:snapToGrid w:val="0"/>
        <w:spacing w:line="600" w:lineRule="exact"/>
        <w:ind w:firstLine="624" w:firstLineChars="200"/>
        <w:textAlignment w:val="baseline"/>
        <w:rPr>
          <w:rFonts w:ascii="仿宋_GB2312" w:hAnsi="仿宋_GB2312" w:eastAsia="仿宋_GB2312" w:cs="仿宋_GB2312"/>
          <w:color w:val="000000" w:themeColor="text1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统筹全区公共数字文化工程建设，推动文化资源数字化、文化设施管理全域化、文化服务终端智能化，利用数字技术为社会公众提供便捷服务。进一步完善资阳公共文旅云平台功能，推动其和省市智慧城市平台、公共文旅云平台的服务对接。整合利用全区公共数字文化资源，</w:t>
      </w:r>
      <w:r>
        <w:rPr>
          <w:rFonts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打造全民阅读和全民艺术普及资源库群</w:t>
      </w: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，逐步建立线上线下相结合的分级分布式数字资源库群。加快实施区智慧图书馆、数字文化馆建设项目，加强数字艺术、沉浸式体验等新型文化业态的应用。加强公共数字文化服务品牌建设。探索有声图书馆、文化馆互动体验等新型文化服务方式。 </w:t>
      </w:r>
    </w:p>
    <w:p>
      <w:pPr>
        <w:pStyle w:val="2"/>
        <w:spacing w:line="600" w:lineRule="exact"/>
        <w:ind w:firstLine="640" w:firstLineChars="200"/>
        <w:rPr>
          <w:rFonts w:ascii="楷体" w:hAnsi="楷体" w:eastAsia="楷体" w:cs="楷体"/>
          <w:color w:val="000000" w:themeColor="text1"/>
          <w:sz w:val="32"/>
          <w:szCs w:val="32"/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</w:rPr>
        <w:t>（七）优化公共文化服务人才队伍</w:t>
      </w:r>
    </w:p>
    <w:p>
      <w:pPr>
        <w:snapToGrid w:val="0"/>
        <w:spacing w:line="600" w:lineRule="exact"/>
        <w:ind w:firstLine="624" w:firstLineChars="200"/>
        <w:textAlignment w:val="baseline"/>
        <w:rPr>
          <w:rFonts w:ascii="仿宋_GB2312" w:hAnsi="仿宋_GB2312" w:eastAsia="仿宋_GB2312" w:cs="仿宋_GB2312"/>
          <w:color w:val="000000" w:themeColor="text1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1. 配齐配强人才队伍。按照公共文化设施功能、任务和服务人口规模，合理设置公共文化服务岗位，配备相应专业人员。建立公共文化服务人才引进、培养、使用和激励机制，加强公共文化服务专业人才、从业人员及乡土文化等队伍建设。政府购买社区（村）文化活动中心（室）公益岗位每社区（村）不少于1个。</w:t>
      </w:r>
    </w:p>
    <w:p>
      <w:pPr>
        <w:snapToGrid w:val="0"/>
        <w:spacing w:line="600" w:lineRule="exact"/>
        <w:ind w:firstLine="624" w:firstLineChars="200"/>
        <w:textAlignment w:val="baseline"/>
        <w:rPr>
          <w:rFonts w:ascii="仿宋_GB2312" w:hAnsi="仿宋_GB2312" w:eastAsia="仿宋_GB2312" w:cs="仿宋_GB2312"/>
          <w:color w:val="000000" w:themeColor="text1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2. 加强文化人才培训。实施公共文化服务队伍培训项目，建立培训上岗制度，分级分类制定文化惠民工程人才培养培训计划。区图书馆、区文化馆每年各组织基层文化工作人员培训2次以上。区级公共文化服务机构从业人员每年参加脱产培训时间不少于15天，乡、村文化专兼职人员每年参加集中培训时间不少于5天。</w:t>
      </w:r>
    </w:p>
    <w:p>
      <w:pPr>
        <w:snapToGrid w:val="0"/>
        <w:spacing w:line="600" w:lineRule="exact"/>
        <w:ind w:firstLine="624" w:firstLineChars="200"/>
        <w:textAlignment w:val="baseline"/>
        <w:rPr>
          <w:rFonts w:ascii="仿宋_GB2312" w:hAnsi="仿宋_GB2312" w:eastAsia="仿宋_GB2312" w:cs="仿宋_GB2312"/>
          <w:color w:val="000000" w:themeColor="text1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3. 培养基层文化团队。落实基层文化服务岗位人员编制和经费，保持基层文化队伍相对稳定。</w:t>
      </w:r>
      <w:r>
        <w:rPr>
          <w:rFonts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进一步壮大</w:t>
      </w: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区图书馆、</w:t>
      </w:r>
      <w:r>
        <w:rPr>
          <w:rFonts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文化馆馆办</w:t>
      </w: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文化</w:t>
      </w:r>
      <w:r>
        <w:rPr>
          <w:rFonts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团队。</w:t>
      </w: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实施乡村文化和旅游能人支持项目，</w:t>
      </w:r>
      <w:r>
        <w:rPr>
          <w:rFonts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加大对群众自发性文艺团队的扶持引导</w:t>
      </w: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和服务保障</w:t>
      </w:r>
      <w:r>
        <w:rPr>
          <w:rFonts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</w:rPr>
        <w:t>2025年每村有1支以上群众文化队伍，常态化开展文化活动。</w:t>
      </w:r>
    </w:p>
    <w:p>
      <w:pPr>
        <w:snapToGrid w:val="0"/>
        <w:spacing w:line="600" w:lineRule="exact"/>
        <w:ind w:firstLine="640" w:firstLineChars="200"/>
        <w:textAlignment w:val="baseline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三、保障措施</w:t>
      </w:r>
    </w:p>
    <w:p>
      <w:pPr>
        <w:pStyle w:val="2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>（一）加强组织领导。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充分发挥区公共文化服务体系建设领导小组作用，建立区公共文化服务体系建设联席会议制度并定期议事，公共文化设施建设纳入区城镇化补短板强弱项目，公共文化与经济社会发展任务统一部署、规划和实施。进一步明确工作责任、目标任务和进度要求，推动规划任务落地落实。</w:t>
      </w:r>
    </w:p>
    <w:p>
      <w:pPr>
        <w:pStyle w:val="2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>（二）推进依法治文。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强化依法行政，深入贯彻实施《中华人民共和国公共文化服务保障法》《中华人民共和国公共图书馆法》，建立政府公共文化服务评估标准、本行政区域基本公共文化服务地方标准，开展公共文化服务相关执法检查，压实各级政府和相关部门工作责任。</w:t>
      </w:r>
    </w:p>
    <w:p>
      <w:pPr>
        <w:pStyle w:val="2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>（三）加大多元投入。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  <w:t>把基本公共文化服务保障资金纳入公共财政经常性支出预算，加强政府购买公共文化服务工作，落实保障人民群众享有基本公共文化服务项目所需资金。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鼓励和支持社会力量通过投资或捐助设施设备、兴办实体、资助项目、赞助活动、提供产品或服务等方式参与公共文化服务体系建设。</w:t>
      </w:r>
    </w:p>
    <w:p>
      <w:pPr>
        <w:pStyle w:val="2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>（四）强化考评监督。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推动将公共文化建设纳入全区绩效考核重要内容。开展公共图书馆、文化馆、乡镇（街道、经开区）综合文化站评估定级工作。建立公共文化机构管理绩效考评制度和公众满意度测评制度，并定期向社会公布。加强对公共文化重大项目资金使用、实施效果和服务效能等方面的监督和评价。</w:t>
      </w:r>
    </w:p>
    <w:sectPr>
      <w:footerReference r:id="rId3" w:type="default"/>
      <w:pgSz w:w="11906" w:h="16838"/>
      <w:pgMar w:top="1871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84848"/>
    <w:rsid w:val="00073FE1"/>
    <w:rsid w:val="001E5000"/>
    <w:rsid w:val="0066014C"/>
    <w:rsid w:val="00C23203"/>
    <w:rsid w:val="012F5AED"/>
    <w:rsid w:val="01EC23AC"/>
    <w:rsid w:val="066A2854"/>
    <w:rsid w:val="09AA5C28"/>
    <w:rsid w:val="09B844CE"/>
    <w:rsid w:val="0BAD5B83"/>
    <w:rsid w:val="0DB17FE6"/>
    <w:rsid w:val="10677616"/>
    <w:rsid w:val="10DB0AAB"/>
    <w:rsid w:val="113104DE"/>
    <w:rsid w:val="1145330B"/>
    <w:rsid w:val="13B06BFF"/>
    <w:rsid w:val="15CD5D22"/>
    <w:rsid w:val="16A17210"/>
    <w:rsid w:val="178B2571"/>
    <w:rsid w:val="180A147C"/>
    <w:rsid w:val="1C3D11FF"/>
    <w:rsid w:val="1E5C01C2"/>
    <w:rsid w:val="214A4EBE"/>
    <w:rsid w:val="252650B2"/>
    <w:rsid w:val="265F00CA"/>
    <w:rsid w:val="271A3E00"/>
    <w:rsid w:val="27255B7F"/>
    <w:rsid w:val="28100053"/>
    <w:rsid w:val="29D13AB5"/>
    <w:rsid w:val="2D5814E2"/>
    <w:rsid w:val="2ECF09BF"/>
    <w:rsid w:val="31F90FFE"/>
    <w:rsid w:val="35224F4F"/>
    <w:rsid w:val="35CC44DC"/>
    <w:rsid w:val="35F31018"/>
    <w:rsid w:val="36681341"/>
    <w:rsid w:val="390019F4"/>
    <w:rsid w:val="3ABD1B81"/>
    <w:rsid w:val="3B93063A"/>
    <w:rsid w:val="3C314DCB"/>
    <w:rsid w:val="416D5EFB"/>
    <w:rsid w:val="4179611D"/>
    <w:rsid w:val="42636B83"/>
    <w:rsid w:val="43384848"/>
    <w:rsid w:val="46C030A8"/>
    <w:rsid w:val="49A6271E"/>
    <w:rsid w:val="4A0B1C57"/>
    <w:rsid w:val="4DEA6813"/>
    <w:rsid w:val="4E8031CE"/>
    <w:rsid w:val="4FBB55D7"/>
    <w:rsid w:val="50BC6A71"/>
    <w:rsid w:val="5106170B"/>
    <w:rsid w:val="523924E1"/>
    <w:rsid w:val="54870897"/>
    <w:rsid w:val="5697181F"/>
    <w:rsid w:val="57167FB1"/>
    <w:rsid w:val="592541A3"/>
    <w:rsid w:val="59F20FB9"/>
    <w:rsid w:val="63FF5E12"/>
    <w:rsid w:val="78854171"/>
    <w:rsid w:val="79193BCF"/>
    <w:rsid w:val="7B8F7467"/>
    <w:rsid w:val="7CBF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758</Words>
  <Characters>4326</Characters>
  <Lines>36</Lines>
  <Paragraphs>10</Paragraphs>
  <TotalTime>4</TotalTime>
  <ScaleCrop>false</ScaleCrop>
  <LinksUpToDate>false</LinksUpToDate>
  <CharactersWithSpaces>5074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2021-11-08T07:27:00Z</dcterms:created>
  <dc:creator>Administrator</dc:creator>
  <cp:lastModifiedBy>巢林伟</cp:lastModifiedBy>
  <cp:lastPrinted>2021-10-09T01:21:00Z</cp:lastPrinted>
  <dcterms:modified xsi:type="dcterms:W3CDTF">2021-11-29T07:56:49Z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F251F6BAF5C24FC794BF308E07ADBE1F</vt:lpwstr>
  </property>
</Properties>
</file>