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rPr>
          <w:rFonts w:hint="eastAsia" w:ascii="宋体" w:hAnsi="宋体" w:eastAsia="宋体" w:cs="宋体"/>
          <w:b/>
          <w:color w:val="D01A0C"/>
          <w:sz w:val="36"/>
          <w:szCs w:val="36"/>
        </w:rPr>
      </w:pPr>
      <w:r>
        <w:rPr>
          <w:rFonts w:hint="eastAsia" w:ascii="宋体" w:hAnsi="宋体" w:eastAsia="宋体" w:cs="宋体"/>
          <w:b/>
          <w:i w:val="0"/>
          <w:caps w:val="0"/>
          <w:color w:val="D01A0C"/>
          <w:spacing w:val="0"/>
          <w:sz w:val="36"/>
          <w:szCs w:val="36"/>
          <w:shd w:val="clear" w:fill="FFFFFF"/>
        </w:rPr>
        <w:t>益阳市资阳区人力资源和社会保障局</w:t>
      </w:r>
      <w:bookmarkStart w:id="0" w:name="_GoBack"/>
      <w:bookmarkEnd w:id="0"/>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rPr>
          <w:rFonts w:hint="eastAsia" w:ascii="宋体" w:hAnsi="宋体" w:eastAsia="宋体" w:cs="宋体"/>
          <w:b/>
          <w:color w:val="D01A0C"/>
          <w:sz w:val="36"/>
          <w:szCs w:val="36"/>
        </w:rPr>
      </w:pPr>
      <w:r>
        <w:rPr>
          <w:rFonts w:hint="eastAsia" w:ascii="宋体" w:hAnsi="宋体" w:eastAsia="宋体" w:cs="宋体"/>
          <w:b/>
          <w:i w:val="0"/>
          <w:caps w:val="0"/>
          <w:color w:val="D01A0C"/>
          <w:spacing w:val="0"/>
          <w:sz w:val="36"/>
          <w:szCs w:val="36"/>
          <w:shd w:val="clear" w:fill="FFFFFF"/>
          <w:lang w:eastAsia="zh-CN"/>
        </w:rPr>
        <w:t>2020</w:t>
      </w:r>
      <w:r>
        <w:rPr>
          <w:rFonts w:hint="eastAsia" w:ascii="宋体" w:hAnsi="宋体" w:eastAsia="宋体" w:cs="宋体"/>
          <w:b/>
          <w:i w:val="0"/>
          <w:caps w:val="0"/>
          <w:color w:val="D01A0C"/>
          <w:spacing w:val="0"/>
          <w:sz w:val="36"/>
          <w:szCs w:val="36"/>
          <w:shd w:val="clear" w:fill="FFFFFF"/>
        </w:rPr>
        <w:t>年部门预算</w:t>
      </w:r>
      <w:r>
        <w:rPr>
          <w:rFonts w:hint="eastAsia" w:ascii="宋体" w:hAnsi="宋体" w:eastAsia="宋体" w:cs="宋体"/>
          <w:b/>
          <w:i w:val="0"/>
          <w:caps w:val="0"/>
          <w:color w:val="D01A0C"/>
          <w:spacing w:val="0"/>
          <w:sz w:val="36"/>
          <w:szCs w:val="36"/>
          <w:shd w:val="clear" w:fill="FFFFFF"/>
          <w:lang w:eastAsia="zh-CN"/>
        </w:rPr>
        <w:t>公开</w:t>
      </w:r>
      <w:r>
        <w:rPr>
          <w:rFonts w:hint="eastAsia" w:ascii="宋体" w:hAnsi="宋体" w:eastAsia="宋体" w:cs="宋体"/>
          <w:b/>
          <w:i w:val="0"/>
          <w:caps w:val="0"/>
          <w:color w:val="D01A0C"/>
          <w:spacing w:val="0"/>
          <w:sz w:val="36"/>
          <w:szCs w:val="36"/>
          <w:shd w:val="clear" w:fill="FFFFFF"/>
        </w:rPr>
        <w:t> </w:t>
      </w:r>
    </w:p>
    <w:p>
      <w:pPr>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44"/>
          <w:szCs w:val="44"/>
        </w:rPr>
        <w:t>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录</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黑体" w:hAnsi="黑体" w:eastAsia="黑体" w:cs="黑体"/>
          <w:color w:val="auto"/>
          <w:sz w:val="30"/>
          <w:szCs w:val="30"/>
        </w:rPr>
      </w:pP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黑体" w:hAnsi="黑体" w:eastAsia="黑体" w:cs="Times New Roman"/>
          <w:color w:val="auto"/>
          <w:sz w:val="30"/>
          <w:szCs w:val="30"/>
          <w:lang w:eastAsia="zh-CN"/>
        </w:rPr>
      </w:pPr>
      <w:r>
        <w:rPr>
          <w:rFonts w:hint="eastAsia" w:ascii="黑体" w:hAnsi="黑体" w:eastAsia="黑体" w:cs="黑体"/>
          <w:color w:val="auto"/>
          <w:sz w:val="30"/>
          <w:szCs w:val="30"/>
        </w:rPr>
        <w:t>第一部分</w:t>
      </w:r>
      <w:r>
        <w:rPr>
          <w:rFonts w:ascii="黑体" w:hAnsi="黑体" w:eastAsia="黑体" w:cs="黑体"/>
          <w:color w:val="auto"/>
          <w:sz w:val="30"/>
          <w:szCs w:val="30"/>
        </w:rPr>
        <w:t xml:space="preserve">  </w:t>
      </w:r>
      <w:r>
        <w:rPr>
          <w:rFonts w:hint="eastAsia" w:ascii="黑体" w:hAnsi="黑体" w:eastAsia="黑体" w:cs="黑体"/>
          <w:color w:val="auto"/>
          <w:sz w:val="30"/>
          <w:szCs w:val="30"/>
          <w:lang w:eastAsia="zh-CN"/>
        </w:rPr>
        <w:t>部门预算说明</w:t>
      </w:r>
    </w:p>
    <w:p>
      <w:pPr>
        <w:keepNext w:val="0"/>
        <w:keepLines w:val="0"/>
        <w:pageBreakBefore w:val="0"/>
        <w:widowControl/>
        <w:kinsoku/>
        <w:wordWrap/>
        <w:overflowPunct/>
        <w:topLinePunct w:val="0"/>
        <w:autoSpaceDE/>
        <w:autoSpaceDN/>
        <w:bidi w:val="0"/>
        <w:adjustRightInd/>
        <w:snapToGrid/>
        <w:spacing w:line="500" w:lineRule="exact"/>
        <w:ind w:firstLine="548" w:firstLineChars="196"/>
        <w:jc w:val="left"/>
        <w:textAlignment w:val="auto"/>
        <w:rPr>
          <w:rFonts w:hint="eastAsia" w:eastAsia="仿宋_GB2312"/>
          <w:color w:val="auto"/>
          <w:sz w:val="28"/>
          <w:szCs w:val="28"/>
        </w:rPr>
      </w:pPr>
      <w:r>
        <w:rPr>
          <w:rFonts w:eastAsia="黑体"/>
          <w:bCs/>
          <w:color w:val="auto"/>
          <w:kern w:val="0"/>
          <w:sz w:val="28"/>
          <w:szCs w:val="28"/>
        </w:rPr>
        <w:t>一、部门</w:t>
      </w:r>
      <w:r>
        <w:rPr>
          <w:rFonts w:hint="eastAsia" w:eastAsia="黑体"/>
          <w:bCs/>
          <w:color w:val="auto"/>
          <w:kern w:val="0"/>
          <w:sz w:val="28"/>
          <w:szCs w:val="28"/>
          <w:lang w:eastAsia="zh-CN"/>
        </w:rPr>
        <w:t>基本情况</w:t>
      </w:r>
    </w:p>
    <w:p>
      <w:pPr>
        <w:keepNext w:val="0"/>
        <w:keepLines w:val="0"/>
        <w:pageBreakBefore w:val="0"/>
        <w:widowControl/>
        <w:kinsoku/>
        <w:wordWrap/>
        <w:overflowPunct/>
        <w:topLinePunct w:val="0"/>
        <w:autoSpaceDE/>
        <w:autoSpaceDN/>
        <w:bidi w:val="0"/>
        <w:adjustRightInd/>
        <w:snapToGrid/>
        <w:spacing w:line="500" w:lineRule="exact"/>
        <w:ind w:firstLine="840" w:firstLineChars="300"/>
        <w:jc w:val="left"/>
        <w:textAlignment w:val="auto"/>
        <w:rPr>
          <w:rFonts w:hint="eastAsia" w:eastAsia="仿宋_GB2312"/>
          <w:color w:val="auto"/>
          <w:sz w:val="28"/>
          <w:szCs w:val="28"/>
          <w:lang w:eastAsia="zh-CN"/>
        </w:rPr>
      </w:pPr>
      <w:r>
        <w:rPr>
          <w:rFonts w:hint="eastAsia" w:eastAsia="仿宋_GB2312"/>
          <w:color w:val="auto"/>
          <w:sz w:val="28"/>
          <w:szCs w:val="28"/>
        </w:rPr>
        <w:t>1</w:t>
      </w:r>
      <w:r>
        <w:rPr>
          <w:rFonts w:eastAsia="仿宋_GB2312"/>
          <w:color w:val="auto"/>
          <w:sz w:val="28"/>
          <w:szCs w:val="28"/>
        </w:rPr>
        <w:t>、</w:t>
      </w:r>
      <w:r>
        <w:rPr>
          <w:rFonts w:hint="eastAsia" w:eastAsia="仿宋_GB2312"/>
          <w:color w:val="auto"/>
          <w:sz w:val="28"/>
          <w:szCs w:val="28"/>
          <w:lang w:eastAsia="zh-CN"/>
        </w:rPr>
        <w:t>职能职责</w:t>
      </w:r>
    </w:p>
    <w:p>
      <w:pPr>
        <w:keepNext w:val="0"/>
        <w:keepLines w:val="0"/>
        <w:pageBreakBefore w:val="0"/>
        <w:widowControl/>
        <w:kinsoku/>
        <w:wordWrap/>
        <w:overflowPunct/>
        <w:topLinePunct w:val="0"/>
        <w:autoSpaceDE/>
        <w:autoSpaceDN/>
        <w:bidi w:val="0"/>
        <w:adjustRightInd/>
        <w:snapToGrid/>
        <w:spacing w:line="500" w:lineRule="exact"/>
        <w:ind w:firstLine="840" w:firstLineChars="300"/>
        <w:jc w:val="left"/>
        <w:textAlignment w:val="auto"/>
        <w:rPr>
          <w:rFonts w:hint="eastAsia" w:eastAsia="仿宋_GB2312"/>
          <w:color w:val="auto"/>
          <w:sz w:val="28"/>
          <w:szCs w:val="28"/>
          <w:lang w:eastAsia="zh-CN"/>
        </w:rPr>
      </w:pPr>
      <w:r>
        <w:rPr>
          <w:rFonts w:eastAsia="仿宋_GB2312"/>
          <w:color w:val="auto"/>
          <w:sz w:val="28"/>
          <w:szCs w:val="28"/>
        </w:rPr>
        <w:t>2、</w:t>
      </w:r>
      <w:r>
        <w:rPr>
          <w:rFonts w:hint="eastAsia" w:eastAsia="仿宋_GB2312"/>
          <w:color w:val="auto"/>
          <w:sz w:val="28"/>
          <w:szCs w:val="28"/>
          <w:lang w:eastAsia="zh-CN"/>
        </w:rPr>
        <w:t>机构设置</w:t>
      </w:r>
    </w:p>
    <w:p>
      <w:pPr>
        <w:keepNext w:val="0"/>
        <w:keepLines w:val="0"/>
        <w:pageBreakBefore w:val="0"/>
        <w:widowControl/>
        <w:kinsoku/>
        <w:wordWrap/>
        <w:overflowPunct/>
        <w:topLinePunct w:val="0"/>
        <w:autoSpaceDE/>
        <w:autoSpaceDN/>
        <w:bidi w:val="0"/>
        <w:adjustRightInd/>
        <w:snapToGrid/>
        <w:spacing w:line="500" w:lineRule="exact"/>
        <w:ind w:firstLine="548" w:firstLineChars="196"/>
        <w:jc w:val="left"/>
        <w:textAlignment w:val="auto"/>
        <w:rPr>
          <w:rFonts w:eastAsia="黑体"/>
          <w:color w:val="auto"/>
          <w:kern w:val="0"/>
          <w:sz w:val="28"/>
          <w:szCs w:val="28"/>
        </w:rPr>
      </w:pPr>
      <w:r>
        <w:rPr>
          <w:rFonts w:eastAsia="黑体"/>
          <w:color w:val="auto"/>
          <w:kern w:val="0"/>
          <w:sz w:val="28"/>
          <w:szCs w:val="28"/>
        </w:rPr>
        <w:t>二、部门预算单位构成</w:t>
      </w:r>
    </w:p>
    <w:p>
      <w:pPr>
        <w:keepNext w:val="0"/>
        <w:keepLines w:val="0"/>
        <w:pageBreakBefore w:val="0"/>
        <w:widowControl/>
        <w:kinsoku/>
        <w:wordWrap/>
        <w:overflowPunct/>
        <w:topLinePunct w:val="0"/>
        <w:autoSpaceDE/>
        <w:autoSpaceDN/>
        <w:bidi w:val="0"/>
        <w:adjustRightInd/>
        <w:snapToGrid/>
        <w:spacing w:line="500" w:lineRule="exact"/>
        <w:ind w:firstLine="840" w:firstLineChars="300"/>
        <w:jc w:val="left"/>
        <w:textAlignment w:val="auto"/>
        <w:rPr>
          <w:rFonts w:eastAsia="仿宋_GB2312"/>
          <w:color w:val="auto"/>
          <w:sz w:val="28"/>
          <w:szCs w:val="28"/>
        </w:rPr>
      </w:pPr>
      <w:r>
        <w:rPr>
          <w:rFonts w:eastAsia="仿宋_GB2312"/>
          <w:color w:val="auto"/>
          <w:sz w:val="28"/>
          <w:szCs w:val="28"/>
        </w:rPr>
        <w:t>1、部门本级</w:t>
      </w:r>
    </w:p>
    <w:p>
      <w:pPr>
        <w:keepNext w:val="0"/>
        <w:keepLines w:val="0"/>
        <w:pageBreakBefore w:val="0"/>
        <w:widowControl/>
        <w:kinsoku/>
        <w:wordWrap/>
        <w:overflowPunct/>
        <w:topLinePunct w:val="0"/>
        <w:autoSpaceDE/>
        <w:autoSpaceDN/>
        <w:bidi w:val="0"/>
        <w:adjustRightInd/>
        <w:snapToGrid/>
        <w:spacing w:line="500" w:lineRule="exact"/>
        <w:ind w:firstLine="840" w:firstLineChars="300"/>
        <w:jc w:val="left"/>
        <w:textAlignment w:val="auto"/>
        <w:rPr>
          <w:rFonts w:hint="eastAsia" w:eastAsia="仿宋_GB2312"/>
          <w:color w:val="auto"/>
          <w:sz w:val="28"/>
          <w:szCs w:val="28"/>
          <w:lang w:val="en-US" w:eastAsia="zh-CN"/>
        </w:rPr>
      </w:pPr>
      <w:r>
        <w:rPr>
          <w:rFonts w:eastAsia="仿宋_GB2312"/>
          <w:color w:val="auto"/>
          <w:sz w:val="28"/>
          <w:szCs w:val="28"/>
        </w:rPr>
        <w:t>2、二级预算单位</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eastAsia="黑体"/>
          <w:bCs/>
          <w:color w:val="auto"/>
          <w:kern w:val="0"/>
          <w:sz w:val="28"/>
          <w:szCs w:val="28"/>
          <w:lang w:eastAsia="zh-CN"/>
        </w:rPr>
      </w:pPr>
      <w:r>
        <w:rPr>
          <w:rFonts w:eastAsia="黑体"/>
          <w:bCs/>
          <w:color w:val="auto"/>
          <w:kern w:val="0"/>
          <w:sz w:val="28"/>
          <w:szCs w:val="28"/>
        </w:rPr>
        <w:t>三、部门</w:t>
      </w:r>
      <w:r>
        <w:rPr>
          <w:rFonts w:hint="eastAsia" w:eastAsia="黑体"/>
          <w:bCs/>
          <w:color w:val="auto"/>
          <w:kern w:val="0"/>
          <w:sz w:val="28"/>
          <w:szCs w:val="28"/>
        </w:rPr>
        <w:t>预算</w:t>
      </w:r>
      <w:r>
        <w:rPr>
          <w:rFonts w:eastAsia="黑体"/>
          <w:bCs/>
          <w:color w:val="auto"/>
          <w:kern w:val="0"/>
          <w:sz w:val="28"/>
          <w:szCs w:val="28"/>
        </w:rPr>
        <w:t>收支概况</w:t>
      </w:r>
      <w:r>
        <w:rPr>
          <w:rFonts w:hint="eastAsia" w:eastAsia="黑体"/>
          <w:bCs/>
          <w:color w:val="auto"/>
          <w:kern w:val="0"/>
          <w:sz w:val="28"/>
          <w:szCs w:val="28"/>
          <w:lang w:eastAsia="zh-CN"/>
        </w:rPr>
        <w:t>（增减变化情况）</w:t>
      </w:r>
    </w:p>
    <w:p>
      <w:pPr>
        <w:keepNext w:val="0"/>
        <w:keepLines w:val="0"/>
        <w:pageBreakBefore w:val="0"/>
        <w:widowControl/>
        <w:kinsoku/>
        <w:wordWrap/>
        <w:overflowPunct/>
        <w:topLinePunct w:val="0"/>
        <w:autoSpaceDE/>
        <w:autoSpaceDN/>
        <w:bidi w:val="0"/>
        <w:adjustRightInd/>
        <w:snapToGrid/>
        <w:spacing w:line="500" w:lineRule="exact"/>
        <w:ind w:firstLine="840" w:firstLineChars="3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1、收入预算</w:t>
      </w:r>
    </w:p>
    <w:p>
      <w:pPr>
        <w:keepNext w:val="0"/>
        <w:keepLines w:val="0"/>
        <w:pageBreakBefore w:val="0"/>
        <w:widowControl/>
        <w:kinsoku/>
        <w:wordWrap/>
        <w:overflowPunct/>
        <w:topLinePunct w:val="0"/>
        <w:autoSpaceDE/>
        <w:autoSpaceDN/>
        <w:bidi w:val="0"/>
        <w:adjustRightInd/>
        <w:snapToGrid/>
        <w:spacing w:line="500" w:lineRule="exact"/>
        <w:ind w:firstLine="840"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2、支出预算</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黑体"/>
          <w:color w:val="auto"/>
          <w:kern w:val="0"/>
          <w:sz w:val="28"/>
          <w:szCs w:val="28"/>
        </w:rPr>
      </w:pPr>
      <w:r>
        <w:rPr>
          <w:rFonts w:eastAsia="黑体"/>
          <w:color w:val="auto"/>
          <w:sz w:val="28"/>
          <w:szCs w:val="28"/>
        </w:rPr>
        <w:t>四</w:t>
      </w:r>
      <w:r>
        <w:rPr>
          <w:rFonts w:eastAsia="黑体"/>
          <w:color w:val="auto"/>
          <w:kern w:val="0"/>
          <w:sz w:val="28"/>
          <w:szCs w:val="28"/>
        </w:rPr>
        <w:t>、</w:t>
      </w:r>
      <w:r>
        <w:rPr>
          <w:rFonts w:eastAsia="黑体"/>
          <w:color w:val="auto"/>
          <w:sz w:val="28"/>
          <w:szCs w:val="28"/>
        </w:rPr>
        <w:t>一般公共预算拨款支出预算</w:t>
      </w:r>
    </w:p>
    <w:p>
      <w:pPr>
        <w:keepNext w:val="0"/>
        <w:keepLines w:val="0"/>
        <w:pageBreakBefore w:val="0"/>
        <w:widowControl/>
        <w:kinsoku/>
        <w:wordWrap/>
        <w:overflowPunct/>
        <w:topLinePunct w:val="0"/>
        <w:autoSpaceDE/>
        <w:autoSpaceDN/>
        <w:bidi w:val="0"/>
        <w:adjustRightInd/>
        <w:snapToGrid/>
        <w:spacing w:line="500" w:lineRule="exact"/>
        <w:ind w:firstLine="840" w:firstLineChars="300"/>
        <w:jc w:val="left"/>
        <w:textAlignment w:val="auto"/>
        <w:rPr>
          <w:rFonts w:eastAsia="仿宋_GB2312"/>
          <w:color w:val="auto"/>
          <w:sz w:val="28"/>
          <w:szCs w:val="28"/>
        </w:rPr>
      </w:pPr>
      <w:r>
        <w:rPr>
          <w:rFonts w:eastAsia="仿宋_GB2312"/>
          <w:color w:val="auto"/>
          <w:sz w:val="28"/>
          <w:szCs w:val="28"/>
        </w:rPr>
        <w:t>1、基本支出</w:t>
      </w:r>
    </w:p>
    <w:p>
      <w:pPr>
        <w:keepNext w:val="0"/>
        <w:keepLines w:val="0"/>
        <w:pageBreakBefore w:val="0"/>
        <w:widowControl/>
        <w:kinsoku/>
        <w:wordWrap/>
        <w:overflowPunct/>
        <w:topLinePunct w:val="0"/>
        <w:autoSpaceDE/>
        <w:autoSpaceDN/>
        <w:bidi w:val="0"/>
        <w:adjustRightInd/>
        <w:snapToGrid/>
        <w:spacing w:line="500" w:lineRule="exact"/>
        <w:ind w:firstLine="840" w:firstLineChars="300"/>
        <w:jc w:val="left"/>
        <w:textAlignment w:val="auto"/>
        <w:rPr>
          <w:rFonts w:hint="default" w:eastAsia="黑体"/>
          <w:bCs/>
          <w:color w:val="auto"/>
          <w:kern w:val="0"/>
          <w:sz w:val="28"/>
          <w:szCs w:val="28"/>
          <w:lang w:val="en-US" w:eastAsia="zh-CN"/>
        </w:rPr>
      </w:pPr>
      <w:r>
        <w:rPr>
          <w:rFonts w:eastAsia="仿宋_GB2312"/>
          <w:color w:val="auto"/>
          <w:sz w:val="28"/>
          <w:szCs w:val="28"/>
        </w:rPr>
        <w:t>2、项目支出</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eastAsia="黑体"/>
          <w:bCs/>
          <w:color w:val="auto"/>
          <w:kern w:val="0"/>
          <w:sz w:val="28"/>
          <w:szCs w:val="28"/>
        </w:rPr>
      </w:pPr>
      <w:r>
        <w:rPr>
          <w:rFonts w:eastAsia="黑体"/>
          <w:bCs/>
          <w:color w:val="auto"/>
          <w:kern w:val="0"/>
          <w:sz w:val="28"/>
          <w:szCs w:val="28"/>
        </w:rPr>
        <w:t>五、</w:t>
      </w:r>
      <w:r>
        <w:rPr>
          <w:rFonts w:hint="eastAsia" w:eastAsia="黑体"/>
          <w:bCs/>
          <w:color w:val="auto"/>
          <w:kern w:val="0"/>
          <w:sz w:val="28"/>
          <w:szCs w:val="28"/>
        </w:rPr>
        <w:t>机关运行及三公经费</w:t>
      </w:r>
      <w:r>
        <w:rPr>
          <w:rFonts w:eastAsia="黑体"/>
          <w:bCs/>
          <w:color w:val="auto"/>
          <w:kern w:val="0"/>
          <w:sz w:val="28"/>
          <w:szCs w:val="28"/>
        </w:rPr>
        <w:t>情况说明</w:t>
      </w:r>
    </w:p>
    <w:p>
      <w:pPr>
        <w:keepNext w:val="0"/>
        <w:keepLines w:val="0"/>
        <w:pageBreakBefore w:val="0"/>
        <w:widowControl/>
        <w:kinsoku/>
        <w:wordWrap/>
        <w:overflowPunct/>
        <w:topLinePunct w:val="0"/>
        <w:autoSpaceDE/>
        <w:autoSpaceDN/>
        <w:bidi w:val="0"/>
        <w:adjustRightInd/>
        <w:snapToGrid/>
        <w:spacing w:line="500" w:lineRule="exact"/>
        <w:ind w:firstLine="840" w:firstLineChars="300"/>
        <w:jc w:val="left"/>
        <w:textAlignment w:val="auto"/>
        <w:rPr>
          <w:rFonts w:hint="eastAsia" w:eastAsia="仿宋_GB2312"/>
          <w:color w:val="auto"/>
          <w:sz w:val="28"/>
          <w:szCs w:val="28"/>
          <w:lang w:eastAsia="zh-CN"/>
        </w:rPr>
      </w:pPr>
      <w:r>
        <w:rPr>
          <w:rFonts w:hint="eastAsia" w:eastAsia="仿宋_GB2312"/>
          <w:color w:val="auto"/>
          <w:sz w:val="28"/>
          <w:szCs w:val="28"/>
        </w:rPr>
        <w:t>1</w:t>
      </w:r>
      <w:r>
        <w:rPr>
          <w:rFonts w:eastAsia="仿宋_GB2312"/>
          <w:color w:val="auto"/>
          <w:sz w:val="28"/>
          <w:szCs w:val="28"/>
        </w:rPr>
        <w:t>、机关运行</w:t>
      </w:r>
      <w:r>
        <w:rPr>
          <w:rFonts w:hint="eastAsia" w:eastAsia="仿宋_GB2312"/>
          <w:color w:val="auto"/>
          <w:sz w:val="28"/>
          <w:szCs w:val="28"/>
        </w:rPr>
        <w:t>经费</w:t>
      </w:r>
      <w:r>
        <w:rPr>
          <w:rFonts w:hint="eastAsia" w:eastAsia="仿宋_GB2312"/>
          <w:color w:val="auto"/>
          <w:sz w:val="28"/>
          <w:szCs w:val="28"/>
          <w:lang w:eastAsia="zh-CN"/>
        </w:rPr>
        <w:t>情况</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840" w:firstLineChars="300"/>
        <w:textAlignment w:val="auto"/>
        <w:rPr>
          <w:rFonts w:eastAsia="仿宋_GB2312"/>
          <w:color w:val="auto"/>
          <w:sz w:val="28"/>
          <w:szCs w:val="28"/>
        </w:rPr>
      </w:pPr>
      <w:r>
        <w:rPr>
          <w:rFonts w:eastAsia="仿宋_GB2312"/>
          <w:color w:val="auto"/>
          <w:sz w:val="28"/>
          <w:szCs w:val="28"/>
        </w:rPr>
        <w:t>2、“三公”经费</w:t>
      </w:r>
      <w:r>
        <w:rPr>
          <w:rFonts w:hint="eastAsia" w:eastAsia="仿宋_GB2312"/>
          <w:color w:val="auto"/>
          <w:sz w:val="28"/>
          <w:szCs w:val="28"/>
          <w:lang w:eastAsia="zh-CN"/>
        </w:rPr>
        <w:t>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黑体"/>
          <w:color w:val="auto"/>
          <w:kern w:val="0"/>
          <w:sz w:val="28"/>
          <w:szCs w:val="28"/>
        </w:rPr>
      </w:pPr>
      <w:r>
        <w:rPr>
          <w:rFonts w:hint="eastAsia" w:eastAsia="黑体"/>
          <w:color w:val="auto"/>
          <w:sz w:val="28"/>
          <w:szCs w:val="28"/>
        </w:rPr>
        <w:t>六</w:t>
      </w:r>
      <w:r>
        <w:rPr>
          <w:rFonts w:eastAsia="黑体"/>
          <w:color w:val="auto"/>
          <w:sz w:val="28"/>
          <w:szCs w:val="28"/>
        </w:rPr>
        <w:t>、</w:t>
      </w:r>
      <w:r>
        <w:rPr>
          <w:rFonts w:hint="eastAsia" w:eastAsia="黑体"/>
          <w:color w:val="auto"/>
          <w:sz w:val="28"/>
          <w:szCs w:val="28"/>
        </w:rPr>
        <w:t>国有资产及政府采购</w:t>
      </w:r>
      <w:r>
        <w:rPr>
          <w:rFonts w:eastAsia="黑体"/>
          <w:color w:val="auto"/>
          <w:sz w:val="28"/>
          <w:szCs w:val="28"/>
        </w:rPr>
        <w:t>情况说明</w:t>
      </w:r>
    </w:p>
    <w:p>
      <w:pPr>
        <w:keepNext w:val="0"/>
        <w:keepLines w:val="0"/>
        <w:pageBreakBefore w:val="0"/>
        <w:widowControl/>
        <w:kinsoku/>
        <w:wordWrap/>
        <w:overflowPunct/>
        <w:topLinePunct w:val="0"/>
        <w:autoSpaceDE/>
        <w:autoSpaceDN/>
        <w:bidi w:val="0"/>
        <w:adjustRightInd/>
        <w:snapToGrid/>
        <w:spacing w:line="500" w:lineRule="exact"/>
        <w:ind w:firstLine="840" w:firstLineChars="300"/>
        <w:jc w:val="left"/>
        <w:textAlignment w:val="auto"/>
        <w:rPr>
          <w:rFonts w:eastAsia="仿宋_GB2312"/>
          <w:color w:val="auto"/>
          <w:sz w:val="28"/>
          <w:szCs w:val="28"/>
        </w:rPr>
      </w:pPr>
      <w:r>
        <w:rPr>
          <w:rFonts w:eastAsia="仿宋_GB2312"/>
          <w:color w:val="auto"/>
          <w:sz w:val="28"/>
          <w:szCs w:val="28"/>
        </w:rPr>
        <w:t>1、</w:t>
      </w:r>
      <w:r>
        <w:rPr>
          <w:rFonts w:hint="eastAsia" w:eastAsia="仿宋_GB2312"/>
          <w:color w:val="auto"/>
          <w:sz w:val="28"/>
          <w:szCs w:val="28"/>
        </w:rPr>
        <w:t>国有资产占</w:t>
      </w:r>
      <w:r>
        <w:rPr>
          <w:rFonts w:hint="eastAsia" w:eastAsia="仿宋_GB2312"/>
          <w:color w:val="auto"/>
          <w:sz w:val="28"/>
          <w:szCs w:val="28"/>
          <w:lang w:eastAsia="zh-CN"/>
        </w:rPr>
        <w:t>用</w:t>
      </w:r>
      <w:r>
        <w:rPr>
          <w:rFonts w:hint="eastAsia" w:eastAsia="仿宋_GB2312"/>
          <w:color w:val="auto"/>
          <w:sz w:val="28"/>
          <w:szCs w:val="28"/>
        </w:rPr>
        <w:t>情况</w:t>
      </w:r>
    </w:p>
    <w:p>
      <w:pPr>
        <w:keepNext w:val="0"/>
        <w:keepLines w:val="0"/>
        <w:pageBreakBefore w:val="0"/>
        <w:widowControl/>
        <w:kinsoku/>
        <w:wordWrap/>
        <w:overflowPunct/>
        <w:topLinePunct w:val="0"/>
        <w:autoSpaceDE/>
        <w:autoSpaceDN/>
        <w:bidi w:val="0"/>
        <w:adjustRightInd/>
        <w:snapToGrid/>
        <w:spacing w:line="500" w:lineRule="exact"/>
        <w:ind w:firstLine="840" w:firstLineChars="300"/>
        <w:jc w:val="left"/>
        <w:textAlignment w:val="auto"/>
        <w:rPr>
          <w:rFonts w:hint="default" w:eastAsia="黑体"/>
          <w:bCs/>
          <w:color w:val="auto"/>
          <w:kern w:val="0"/>
          <w:sz w:val="28"/>
          <w:szCs w:val="28"/>
          <w:lang w:val="en-US" w:eastAsia="zh-CN"/>
        </w:rPr>
      </w:pPr>
      <w:r>
        <w:rPr>
          <w:rFonts w:eastAsia="仿宋_GB2312"/>
          <w:color w:val="auto"/>
          <w:sz w:val="28"/>
          <w:szCs w:val="28"/>
        </w:rPr>
        <w:t>2、</w:t>
      </w:r>
      <w:r>
        <w:rPr>
          <w:rFonts w:hint="eastAsia" w:eastAsia="仿宋_GB2312"/>
          <w:color w:val="auto"/>
          <w:sz w:val="28"/>
          <w:szCs w:val="28"/>
        </w:rPr>
        <w:t>政府采购</w:t>
      </w:r>
      <w:r>
        <w:rPr>
          <w:rFonts w:hint="eastAsia" w:eastAsia="仿宋_GB2312"/>
          <w:color w:val="auto"/>
          <w:sz w:val="28"/>
          <w:szCs w:val="28"/>
          <w:lang w:eastAsia="zh-CN"/>
        </w:rPr>
        <w:t>安排</w:t>
      </w:r>
      <w:r>
        <w:rPr>
          <w:rFonts w:hint="eastAsia" w:eastAsia="仿宋_GB2312"/>
          <w:color w:val="auto"/>
          <w:sz w:val="28"/>
          <w:szCs w:val="28"/>
        </w:rPr>
        <w:t>情况</w:t>
      </w:r>
    </w:p>
    <w:p>
      <w:pPr>
        <w:widowControl/>
        <w:numPr>
          <w:ilvl w:val="0"/>
          <w:numId w:val="2"/>
        </w:numPr>
        <w:spacing w:line="600" w:lineRule="exact"/>
        <w:ind w:firstLine="560" w:firstLineChars="200"/>
        <w:rPr>
          <w:rFonts w:hint="eastAsia" w:ascii="黑体" w:hAnsi="黑体" w:eastAsia="黑体" w:cs="黑体"/>
          <w:color w:val="auto"/>
          <w:sz w:val="30"/>
          <w:szCs w:val="30"/>
        </w:rPr>
      </w:pPr>
      <w:r>
        <w:rPr>
          <w:rFonts w:hint="eastAsia" w:eastAsia="黑体"/>
          <w:color w:val="auto"/>
          <w:sz w:val="28"/>
          <w:szCs w:val="28"/>
          <w:lang w:eastAsia="zh-CN"/>
        </w:rPr>
        <w:t>预算</w:t>
      </w:r>
      <w:r>
        <w:rPr>
          <w:rFonts w:hint="eastAsia" w:eastAsia="黑体"/>
          <w:color w:val="auto"/>
          <w:sz w:val="28"/>
          <w:szCs w:val="28"/>
        </w:rPr>
        <w:t>绩效</w:t>
      </w:r>
      <w:r>
        <w:rPr>
          <w:rFonts w:hint="eastAsia" w:eastAsia="黑体"/>
          <w:color w:val="auto"/>
          <w:sz w:val="28"/>
          <w:szCs w:val="28"/>
          <w:lang w:eastAsia="zh-CN"/>
        </w:rPr>
        <w:t>情况</w:t>
      </w:r>
      <w:r>
        <w:rPr>
          <w:rFonts w:hint="eastAsia" w:eastAsia="黑体"/>
          <w:color w:val="auto"/>
          <w:sz w:val="28"/>
          <w:szCs w:val="28"/>
        </w:rPr>
        <w:t>及其他重要事项</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八、名词解释</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Times New Roman"/>
          <w:color w:val="auto"/>
          <w:sz w:val="30"/>
          <w:szCs w:val="30"/>
          <w:lang w:eastAsia="zh-CN"/>
        </w:rPr>
      </w:pPr>
      <w:r>
        <w:rPr>
          <w:rFonts w:hint="eastAsia" w:ascii="黑体" w:hAnsi="黑体" w:eastAsia="黑体" w:cs="黑体"/>
          <w:color w:val="auto"/>
          <w:sz w:val="30"/>
          <w:szCs w:val="30"/>
        </w:rPr>
        <w:t>第</w:t>
      </w:r>
      <w:r>
        <w:rPr>
          <w:rFonts w:hint="eastAsia" w:ascii="黑体" w:hAnsi="黑体" w:eastAsia="黑体" w:cs="黑体"/>
          <w:color w:val="auto"/>
          <w:sz w:val="30"/>
          <w:szCs w:val="30"/>
          <w:lang w:eastAsia="zh-CN"/>
        </w:rPr>
        <w:t>二</w:t>
      </w:r>
      <w:r>
        <w:rPr>
          <w:rFonts w:hint="eastAsia" w:ascii="黑体" w:hAnsi="黑体" w:eastAsia="黑体" w:cs="黑体"/>
          <w:color w:val="auto"/>
          <w:sz w:val="30"/>
          <w:szCs w:val="30"/>
        </w:rPr>
        <w:t>部分</w:t>
      </w:r>
      <w:r>
        <w:rPr>
          <w:rFonts w:ascii="黑体" w:hAnsi="黑体" w:eastAsia="黑体" w:cs="黑体"/>
          <w:color w:val="auto"/>
          <w:sz w:val="30"/>
          <w:szCs w:val="30"/>
        </w:rPr>
        <w:t xml:space="preserve">  </w:t>
      </w:r>
      <w:r>
        <w:rPr>
          <w:rFonts w:hint="eastAsia" w:ascii="黑体" w:hAnsi="黑体" w:eastAsia="黑体" w:cs="黑体"/>
          <w:color w:val="auto"/>
          <w:sz w:val="30"/>
          <w:szCs w:val="30"/>
          <w:lang w:eastAsia="zh-CN"/>
        </w:rPr>
        <w:t>部门预算公开表格</w:t>
      </w:r>
    </w:p>
    <w:p>
      <w:pPr>
        <w:widowControl/>
        <w:spacing w:line="600" w:lineRule="exact"/>
        <w:jc w:val="left"/>
        <w:rPr>
          <w:rFonts w:eastAsia="仿宋_GB2312"/>
          <w:color w:val="000000"/>
          <w:sz w:val="32"/>
          <w:szCs w:val="32"/>
          <w:highlight w:val="none"/>
        </w:rPr>
      </w:pPr>
      <w:r>
        <w:rPr>
          <w:rFonts w:eastAsia="仿宋_GB2312"/>
          <w:color w:val="000000"/>
          <w:sz w:val="32"/>
          <w:szCs w:val="32"/>
          <w:highlight w:val="none"/>
        </w:rPr>
        <w:t>1、收支预算总表</w:t>
      </w:r>
    </w:p>
    <w:p>
      <w:pPr>
        <w:widowControl/>
        <w:spacing w:line="600" w:lineRule="exact"/>
        <w:jc w:val="left"/>
        <w:rPr>
          <w:rFonts w:eastAsia="仿宋_GB2312"/>
          <w:color w:val="000000"/>
          <w:sz w:val="32"/>
          <w:szCs w:val="32"/>
          <w:highlight w:val="none"/>
        </w:rPr>
      </w:pPr>
      <w:r>
        <w:rPr>
          <w:rFonts w:eastAsia="仿宋_GB2312"/>
          <w:color w:val="000000"/>
          <w:sz w:val="32"/>
          <w:szCs w:val="32"/>
          <w:highlight w:val="none"/>
        </w:rPr>
        <w:t>2、收入预算总表</w:t>
      </w:r>
    </w:p>
    <w:p>
      <w:pPr>
        <w:widowControl/>
        <w:spacing w:line="600" w:lineRule="exact"/>
        <w:jc w:val="left"/>
        <w:rPr>
          <w:rFonts w:eastAsia="仿宋_GB2312"/>
          <w:color w:val="000000"/>
          <w:sz w:val="32"/>
          <w:szCs w:val="32"/>
          <w:highlight w:val="none"/>
        </w:rPr>
      </w:pPr>
      <w:r>
        <w:rPr>
          <w:rFonts w:eastAsia="仿宋_GB2312"/>
          <w:color w:val="000000"/>
          <w:sz w:val="32"/>
          <w:szCs w:val="32"/>
          <w:highlight w:val="none"/>
        </w:rPr>
        <w:t>3、支出预算总表</w:t>
      </w:r>
    </w:p>
    <w:p>
      <w:pPr>
        <w:widowControl/>
        <w:spacing w:line="600" w:lineRule="exact"/>
        <w:jc w:val="left"/>
        <w:rPr>
          <w:rFonts w:hint="eastAsia" w:eastAsia="仿宋_GB2312"/>
          <w:color w:val="000000"/>
          <w:sz w:val="32"/>
          <w:szCs w:val="32"/>
          <w:highlight w:val="none"/>
        </w:rPr>
      </w:pPr>
      <w:r>
        <w:rPr>
          <w:rFonts w:eastAsia="仿宋_GB2312"/>
          <w:color w:val="000000"/>
          <w:sz w:val="32"/>
          <w:szCs w:val="32"/>
          <w:highlight w:val="none"/>
        </w:rPr>
        <w:t>4</w:t>
      </w:r>
      <w:r>
        <w:rPr>
          <w:rFonts w:hint="eastAsia" w:eastAsia="仿宋_GB2312"/>
          <w:color w:val="000000"/>
          <w:sz w:val="32"/>
          <w:szCs w:val="32"/>
          <w:highlight w:val="none"/>
        </w:rPr>
        <w:t>、支出预算分类汇总表（按部门预算经济分类）</w:t>
      </w:r>
    </w:p>
    <w:p>
      <w:pPr>
        <w:widowControl/>
        <w:numPr>
          <w:ilvl w:val="0"/>
          <w:numId w:val="3"/>
        </w:numPr>
        <w:spacing w:line="600" w:lineRule="exact"/>
        <w:jc w:val="left"/>
        <w:rPr>
          <w:rFonts w:hint="eastAsia" w:eastAsia="仿宋_GB2312"/>
          <w:color w:val="000000"/>
          <w:sz w:val="32"/>
          <w:szCs w:val="32"/>
          <w:highlight w:val="none"/>
        </w:rPr>
      </w:pPr>
      <w:r>
        <w:rPr>
          <w:rFonts w:hint="eastAsia" w:eastAsia="仿宋_GB2312"/>
          <w:color w:val="000000"/>
          <w:sz w:val="32"/>
          <w:szCs w:val="32"/>
          <w:highlight w:val="none"/>
        </w:rPr>
        <w:t>支出预算分类汇总表（按政府预算经济分类）</w:t>
      </w:r>
    </w:p>
    <w:p>
      <w:pPr>
        <w:widowControl/>
        <w:spacing w:line="600" w:lineRule="exact"/>
        <w:jc w:val="left"/>
        <w:rPr>
          <w:rFonts w:eastAsia="仿宋_GB2312"/>
          <w:color w:val="000000"/>
          <w:sz w:val="32"/>
          <w:szCs w:val="32"/>
          <w:highlight w:val="none"/>
        </w:rPr>
      </w:pPr>
      <w:r>
        <w:rPr>
          <w:rFonts w:hint="eastAsia" w:eastAsia="仿宋_GB2312"/>
          <w:color w:val="000000"/>
          <w:sz w:val="32"/>
          <w:szCs w:val="32"/>
          <w:highlight w:val="none"/>
        </w:rPr>
        <w:t>6、</w:t>
      </w:r>
      <w:r>
        <w:rPr>
          <w:rFonts w:eastAsia="仿宋_GB2312"/>
          <w:color w:val="000000"/>
          <w:sz w:val="32"/>
          <w:szCs w:val="32"/>
          <w:highlight w:val="none"/>
        </w:rPr>
        <w:t>财政拨款收支</w:t>
      </w:r>
      <w:r>
        <w:rPr>
          <w:rFonts w:hint="eastAsia" w:eastAsia="仿宋_GB2312"/>
          <w:color w:val="000000"/>
          <w:sz w:val="32"/>
          <w:szCs w:val="32"/>
          <w:highlight w:val="none"/>
        </w:rPr>
        <w:t>预算</w:t>
      </w:r>
      <w:r>
        <w:rPr>
          <w:rFonts w:eastAsia="仿宋_GB2312"/>
          <w:color w:val="000000"/>
          <w:sz w:val="32"/>
          <w:szCs w:val="32"/>
          <w:highlight w:val="none"/>
        </w:rPr>
        <w:t>表</w:t>
      </w:r>
    </w:p>
    <w:p>
      <w:pPr>
        <w:widowControl/>
        <w:spacing w:line="600" w:lineRule="exact"/>
        <w:jc w:val="left"/>
        <w:rPr>
          <w:rFonts w:hint="eastAsia" w:eastAsia="仿宋_GB2312"/>
          <w:color w:val="000000"/>
          <w:sz w:val="32"/>
          <w:szCs w:val="32"/>
          <w:highlight w:val="none"/>
        </w:rPr>
      </w:pPr>
      <w:r>
        <w:rPr>
          <w:rFonts w:hint="eastAsia" w:eastAsia="仿宋_GB2312"/>
          <w:color w:val="000000"/>
          <w:sz w:val="32"/>
          <w:szCs w:val="32"/>
          <w:highlight w:val="none"/>
        </w:rPr>
        <w:t>7、一般公共预算支出预算分类汇总表（按部门预算经济分类）</w:t>
      </w:r>
    </w:p>
    <w:p>
      <w:pPr>
        <w:widowControl/>
        <w:spacing w:line="600" w:lineRule="exact"/>
        <w:jc w:val="left"/>
        <w:rPr>
          <w:rFonts w:eastAsia="仿宋_GB2312"/>
          <w:color w:val="000000"/>
          <w:sz w:val="32"/>
          <w:szCs w:val="32"/>
          <w:highlight w:val="none"/>
        </w:rPr>
      </w:pPr>
      <w:r>
        <w:rPr>
          <w:rFonts w:hint="eastAsia" w:eastAsia="仿宋_GB2312"/>
          <w:color w:val="000000"/>
          <w:sz w:val="32"/>
          <w:szCs w:val="32"/>
          <w:highlight w:val="none"/>
        </w:rPr>
        <w:t>8、一般公共预算支出预算分类汇总表（按政府预算经济分类）</w:t>
      </w:r>
    </w:p>
    <w:p>
      <w:pPr>
        <w:widowControl/>
        <w:spacing w:line="600" w:lineRule="exact"/>
        <w:jc w:val="left"/>
        <w:rPr>
          <w:rFonts w:hint="eastAsia" w:eastAsia="仿宋_GB2312"/>
          <w:color w:val="000000"/>
          <w:sz w:val="32"/>
          <w:szCs w:val="32"/>
          <w:highlight w:val="none"/>
        </w:rPr>
      </w:pPr>
      <w:r>
        <w:rPr>
          <w:rFonts w:hint="eastAsia" w:eastAsia="仿宋_GB2312"/>
          <w:color w:val="000000"/>
          <w:sz w:val="32"/>
          <w:szCs w:val="32"/>
          <w:highlight w:val="none"/>
        </w:rPr>
        <w:t>9、政府性基金拨款支出预算分类汇总表（按部门预算经济分类）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10、政府性基金拨款支出预算分类汇总表（按政府预算经济分类）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11、</w:t>
      </w:r>
      <w:r>
        <w:rPr>
          <w:rFonts w:hint="eastAsia" w:eastAsia="仿宋_GB2312"/>
          <w:color w:val="000000"/>
          <w:sz w:val="32"/>
          <w:szCs w:val="32"/>
          <w:highlight w:val="none"/>
        </w:rPr>
        <w:t>一般公共预算</w:t>
      </w:r>
      <w:r>
        <w:rPr>
          <w:rFonts w:hint="eastAsia" w:eastAsia="仿宋_GB2312"/>
          <w:color w:val="000000"/>
          <w:sz w:val="32"/>
          <w:szCs w:val="32"/>
          <w:highlight w:val="none"/>
          <w:lang w:eastAsia="zh-CN"/>
        </w:rPr>
        <w:t>基本支出表</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12、基本支出预算明细表-工资福利与对个人和家庭的补助（按部门预算经济分类）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13、基本支出预算明细表-工资福利与对个人和家庭的补助（按政府预算经济分类）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14、基本支出预算明细表-商品和服务支出（按部门预算经济分类）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15、基本支出预算明细表-商品和服务支出（按政府预算经济分类）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16、一般公共预算基本支出预算明细表-工资福利与对个人和家庭的补助（按部门预算经济分类）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17、一般公共预算基本支出预算明细表-工资福利与对个人和家庭的补助（按政府预算经济分类）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18、一般公共预算基本支出预算明细表-商品和服务支出（按部门预算经济分类）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19、一般公共预算基本支出预算明细表-商品和服务支出（按政府预算经济分类）</w:t>
      </w:r>
    </w:p>
    <w:p>
      <w:pPr>
        <w:widowControl/>
        <w:spacing w:line="600" w:lineRule="exact"/>
        <w:jc w:val="left"/>
        <w:rPr>
          <w:rFonts w:hint="eastAsia" w:eastAsia="仿宋_GB2312"/>
          <w:color w:val="000000"/>
          <w:sz w:val="32"/>
          <w:szCs w:val="32"/>
          <w:highlight w:val="yellow"/>
        </w:rPr>
      </w:pPr>
      <w:r>
        <w:rPr>
          <w:rFonts w:hint="eastAsia" w:eastAsia="仿宋_GB2312"/>
          <w:color w:val="000000"/>
          <w:sz w:val="32"/>
          <w:szCs w:val="32"/>
          <w:highlight w:val="none"/>
          <w:lang w:val="en-US" w:eastAsia="zh-CN"/>
        </w:rPr>
        <w:t>20、“三公”经费情况表-一般公共预算</w:t>
      </w:r>
    </w:p>
    <w:p>
      <w:pPr>
        <w:widowControl/>
        <w:spacing w:line="600" w:lineRule="exact"/>
        <w:ind w:leftChars="300"/>
        <w:jc w:val="left"/>
        <w:rPr>
          <w:rFonts w:hint="eastAsia" w:eastAsia="仿宋_GB2312"/>
          <w:color w:val="auto"/>
          <w:sz w:val="32"/>
          <w:szCs w:val="32"/>
          <w:highlight w:val="yellow"/>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color w:val="auto"/>
          <w:sz w:val="21"/>
          <w:szCs w:val="21"/>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rPr>
          <w:color w:val="auto"/>
          <w:sz w:val="21"/>
          <w:szCs w:val="21"/>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宋体" w:hAnsi="宋体" w:eastAsia="宋体" w:cs="宋体"/>
          <w:b/>
          <w:color w:val="D01A0C"/>
          <w:sz w:val="36"/>
          <w:szCs w:val="36"/>
        </w:rPr>
      </w:pPr>
      <w:r>
        <w:rPr>
          <w:rFonts w:ascii="黑体" w:hAnsi="Times New Roman" w:eastAsia="黑体" w:cs="黑体"/>
          <w:i w:val="0"/>
          <w:caps w:val="0"/>
          <w:color w:val="auto"/>
          <w:spacing w:val="0"/>
          <w:kern w:val="0"/>
          <w:sz w:val="36"/>
          <w:szCs w:val="36"/>
          <w:shd w:val="clear" w:fill="FFFFFF"/>
          <w:lang w:val="en-US" w:eastAsia="zh-CN" w:bidi="ar"/>
        </w:rPr>
        <w:t>第一部分：</w:t>
      </w:r>
      <w:r>
        <w:rPr>
          <w:rFonts w:hint="default" w:ascii="Times New Roman" w:hAnsi="Times New Roman" w:eastAsia="宋体" w:cs="Times New Roman"/>
          <w:b/>
          <w:i w:val="0"/>
          <w:caps w:val="0"/>
          <w:color w:val="auto"/>
          <w:spacing w:val="0"/>
          <w:kern w:val="0"/>
          <w:sz w:val="32"/>
          <w:szCs w:val="32"/>
          <w:shd w:val="clear" w:fill="FFFFFF"/>
          <w:lang w:val="en-US" w:eastAsia="zh-CN" w:bidi="ar"/>
        </w:rPr>
        <w:t> </w:t>
      </w:r>
      <w:r>
        <w:rPr>
          <w:rFonts w:hint="eastAsia" w:ascii="宋体" w:hAnsi="宋体" w:eastAsia="宋体" w:cs="宋体"/>
          <w:b/>
          <w:i w:val="0"/>
          <w:caps w:val="0"/>
          <w:color w:val="D01A0C"/>
          <w:spacing w:val="0"/>
          <w:sz w:val="36"/>
          <w:szCs w:val="36"/>
          <w:shd w:val="clear" w:fill="FFFFFF"/>
        </w:rPr>
        <w:t>益阳市资阳区人力资源和社会保障局</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rPr>
          <w:rFonts w:hint="eastAsia" w:ascii="宋体" w:hAnsi="宋体" w:eastAsia="宋体" w:cs="宋体"/>
          <w:b/>
          <w:color w:val="D01A0C"/>
          <w:sz w:val="36"/>
          <w:szCs w:val="36"/>
        </w:rPr>
      </w:pPr>
      <w:r>
        <w:rPr>
          <w:rFonts w:hint="eastAsia" w:ascii="宋体" w:hAnsi="宋体" w:eastAsia="宋体" w:cs="宋体"/>
          <w:b/>
          <w:i w:val="0"/>
          <w:caps w:val="0"/>
          <w:color w:val="D01A0C"/>
          <w:spacing w:val="0"/>
          <w:sz w:val="36"/>
          <w:szCs w:val="36"/>
          <w:shd w:val="clear" w:fill="FFFFFF"/>
          <w:lang w:eastAsia="zh-CN"/>
        </w:rPr>
        <w:t>2020</w:t>
      </w:r>
      <w:r>
        <w:rPr>
          <w:rFonts w:hint="eastAsia" w:ascii="宋体" w:hAnsi="宋体" w:eastAsia="宋体" w:cs="宋体"/>
          <w:b/>
          <w:i w:val="0"/>
          <w:caps w:val="0"/>
          <w:color w:val="D01A0C"/>
          <w:spacing w:val="0"/>
          <w:sz w:val="36"/>
          <w:szCs w:val="36"/>
          <w:shd w:val="clear" w:fill="FFFFFF"/>
        </w:rPr>
        <w:t>年部门预算</w:t>
      </w:r>
      <w:r>
        <w:rPr>
          <w:rFonts w:hint="eastAsia" w:ascii="宋体" w:hAnsi="宋体" w:eastAsia="宋体" w:cs="宋体"/>
          <w:b/>
          <w:i w:val="0"/>
          <w:caps w:val="0"/>
          <w:color w:val="D01A0C"/>
          <w:spacing w:val="0"/>
          <w:sz w:val="36"/>
          <w:szCs w:val="36"/>
          <w:shd w:val="clear" w:fill="FFFFFF"/>
          <w:lang w:eastAsia="zh-CN"/>
        </w:rPr>
        <w:t>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left="0" w:right="0" w:firstLine="420"/>
        <w:jc w:val="both"/>
        <w:rPr>
          <w:rFonts w:hint="eastAsia" w:ascii="宋体" w:hAnsi="宋体" w:eastAsia="宋体" w:cs="宋体"/>
          <w:color w:val="auto"/>
          <w:sz w:val="21"/>
          <w:szCs w:val="21"/>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rPr>
          <w:color w:val="auto"/>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left="0" w:right="0" w:firstLine="627"/>
        <w:jc w:val="both"/>
        <w:rPr>
          <w:rFonts w:hint="eastAsia" w:ascii="宋体" w:hAnsi="宋体" w:eastAsia="宋体" w:cs="宋体"/>
          <w:color w:val="auto"/>
          <w:sz w:val="21"/>
          <w:szCs w:val="21"/>
        </w:rPr>
      </w:pPr>
      <w:r>
        <w:rPr>
          <w:rFonts w:hint="eastAsia" w:ascii="黑体" w:hAnsi="宋体" w:eastAsia="黑体" w:cs="黑体"/>
          <w:i w:val="0"/>
          <w:caps w:val="0"/>
          <w:color w:val="auto"/>
          <w:spacing w:val="0"/>
          <w:kern w:val="0"/>
          <w:sz w:val="32"/>
          <w:szCs w:val="32"/>
          <w:shd w:val="clear" w:fill="FFFFFF"/>
          <w:lang w:val="en-US" w:eastAsia="zh-CN" w:bidi="ar"/>
        </w:rPr>
        <w:t>一、</w:t>
      </w:r>
      <w:r>
        <w:rPr>
          <w:rFonts w:hint="eastAsia" w:ascii="黑体" w:hAnsi="Times New Roman" w:eastAsia="黑体" w:cs="黑体"/>
          <w:i w:val="0"/>
          <w:caps w:val="0"/>
          <w:color w:val="auto"/>
          <w:spacing w:val="0"/>
          <w:kern w:val="0"/>
          <w:sz w:val="32"/>
          <w:szCs w:val="32"/>
          <w:shd w:val="clear" w:fill="FFFFFF"/>
          <w:lang w:val="en-US" w:eastAsia="zh-CN" w:bidi="ar"/>
        </w:rPr>
        <w:t>部门</w:t>
      </w:r>
      <w:r>
        <w:rPr>
          <w:rFonts w:hint="eastAsia" w:ascii="黑体" w:hAnsi="宋体" w:eastAsia="黑体" w:cs="黑体"/>
          <w:i w:val="0"/>
          <w:caps w:val="0"/>
          <w:color w:val="auto"/>
          <w:spacing w:val="0"/>
          <w:kern w:val="0"/>
          <w:sz w:val="32"/>
          <w:szCs w:val="32"/>
          <w:shd w:val="clear" w:fill="FFFFFF"/>
          <w:lang w:val="en-US" w:eastAsia="zh-CN" w:bidi="ar"/>
        </w:rPr>
        <w:t>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jc w:val="both"/>
        <w:rPr>
          <w:rFonts w:hint="eastAsia" w:ascii="宋体" w:hAnsi="宋体" w:eastAsia="宋体" w:cs="宋体"/>
          <w:color w:val="auto"/>
          <w:sz w:val="21"/>
          <w:szCs w:val="21"/>
        </w:rPr>
      </w:pPr>
      <w:r>
        <w:rPr>
          <w:rFonts w:hint="eastAsia" w:ascii="宋体" w:hAnsi="宋体" w:eastAsia="宋体" w:cs="宋体"/>
          <w:b/>
          <w:i w:val="0"/>
          <w:caps w:val="0"/>
          <w:color w:val="auto"/>
          <w:spacing w:val="0"/>
          <w:sz w:val="28"/>
          <w:szCs w:val="28"/>
          <w:shd w:val="clear" w:fill="FFFFFF"/>
        </w:rPr>
        <w:t>1、职能职责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280" w:firstLineChars="100"/>
        <w:jc w:val="both"/>
        <w:rPr>
          <w:rFonts w:hint="eastAsia" w:ascii="宋体" w:hAnsi="宋体" w:eastAsia="宋体" w:cs="宋体"/>
          <w:i w:val="0"/>
          <w:caps w:val="0"/>
          <w:color w:val="auto"/>
          <w:spacing w:val="0"/>
          <w:sz w:val="28"/>
          <w:szCs w:val="28"/>
          <w:shd w:val="clear" w:fill="FFFFFF"/>
        </w:rPr>
      </w:pPr>
      <w:r>
        <w:rPr>
          <w:rFonts w:hint="eastAsia" w:ascii="宋体" w:hAnsi="宋体" w:eastAsia="宋体" w:cs="宋体"/>
          <w:i w:val="0"/>
          <w:caps w:val="0"/>
          <w:color w:val="auto"/>
          <w:spacing w:val="0"/>
          <w:sz w:val="28"/>
          <w:szCs w:val="28"/>
          <w:shd w:val="clear" w:fill="FFFFFF"/>
        </w:rPr>
        <w:t>（一）拟订全区人力资源和社会保障事业发展规划和年度工作计划并组织实施；对全区人力资源和社会保障工作进行综合管理、监督指导、协调服务。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280" w:firstLineChars="1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8"/>
          <w:szCs w:val="28"/>
          <w:shd w:val="clear" w:fill="FFFFFF"/>
        </w:rPr>
        <w:t>（二）负责全区人力资源开发综合管理。拟订并组织实施</w:t>
      </w:r>
      <w:r>
        <w:rPr>
          <w:rFonts w:hint="eastAsia" w:ascii="宋体" w:hAnsi="宋体" w:eastAsia="宋体" w:cs="宋体"/>
          <w:i w:val="0"/>
          <w:caps w:val="0"/>
          <w:color w:val="auto"/>
          <w:spacing w:val="-2"/>
          <w:sz w:val="28"/>
          <w:szCs w:val="28"/>
          <w:shd w:val="clear" w:fill="FFFFFF"/>
        </w:rPr>
        <w:t>全区人力资源市场发展规划和人力资源流动政策；指导全区建立统一规范的人力资源市场，促进人力资源合理流动、有效配置。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280" w:firstLineChars="1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8"/>
          <w:szCs w:val="28"/>
          <w:shd w:val="clear" w:fill="FFFFFF"/>
        </w:rPr>
        <w:t>（三）负责全区促进就业工作。拟订并组织实施统筹城乡的就业发展规划，完善公共就业创业服务体系；组织落实就业援助制度；组织落实职业资格制度相关政策，统筹建立面向城乡劳动者的职业技能培训制度；贯彻执行高校毕业生就业政策和高技能人才、农村实用人才培养与激励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280" w:firstLineChars="1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8"/>
          <w:szCs w:val="28"/>
          <w:shd w:val="clear" w:fill="FFFFFF"/>
        </w:rPr>
        <w:t>（四）统筹推进建立覆盖城乡的多层次社会保障体系。组织实施养老、失业、工伤等社会保险及其补充保险政策和标准；贯彻执行养老保险、失业保险、工伤保险政策；会同有关部门拟订养老、失业、工伤等社会保险及其补充保险基金管理监督办法并实施监督，编制相关社会保险基金预决算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280" w:firstLineChars="1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8"/>
          <w:szCs w:val="28"/>
          <w:shd w:val="clear" w:fill="FFFFFF"/>
        </w:rPr>
        <w:t>（五）负责全区就业、失业和相关社会保险基金预测预警和信息引导，拟订应对预案，实施预防、调节和控制，保持就业形势稳定和相关社会保险基金总体收支平衡。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280" w:firstLineChars="1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8"/>
          <w:szCs w:val="28"/>
          <w:shd w:val="clear" w:fill="FFFFFF"/>
        </w:rPr>
        <w:t>（六）组织实施劳动人事争议调解仲裁工作规划，执行劳动关系政策，完善劳动关系协商协调机制；监督实施职工工作时间、休息休假和假期制度，监督实施消除非法使用童工政策和女工、未成年工特殊劳动保护政策；组织实施劳动保障监察，协调劳动者维权工作，依法查处重大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280" w:firstLineChars="1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8"/>
          <w:szCs w:val="28"/>
          <w:shd w:val="clear" w:fill="FFFFFF"/>
        </w:rPr>
        <w:t>（七）牵头推进深化职称制度改革。综合管理全区专业技术人员、专业技术队伍建设和专业技术人员、机关事业单位工勤人员继续教育工作；牵头推进深化职称制度改革，归口管理专业技术人员的职称工作；负责高层次专业技术人才选拔培养引进工作；完善职业资格制度，实施职业技能多元化评价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280" w:firstLineChars="1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8"/>
          <w:szCs w:val="28"/>
          <w:shd w:val="clear" w:fill="FFFFFF"/>
        </w:rPr>
        <w:t>（八）负责全区事业单位人事宏观管理。会同有关部门指导事业单位人事制度改革，按照管理权限负责规范事业单位岗位设置、公开招聘、聘用合同等人事综合管理工作；组织实施事业单位工作人员和机关工勤人员管理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280" w:firstLineChars="1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8"/>
          <w:szCs w:val="28"/>
          <w:shd w:val="clear" w:fill="FFFFFF"/>
        </w:rPr>
        <w:t>（九）负责全区企事业单位工资收入分配综合管理。贯彻执行事业单位和机关工勤人员工资收入分配政策；建立事业单位和机关工勤人员工资正常增长和支付保障机制，指导和监督实施国有企业经营者收入分配政策；组织实施事业单位和机关工勤人员福利、职业年金和离退休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560" w:firstLineChars="2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8"/>
          <w:szCs w:val="28"/>
          <w:shd w:val="clear" w:fill="FFFFFF"/>
        </w:rPr>
        <w:t>（十）会同有关部门落实农民工工作的综合性政策和规划，协调解决重点难点问题，维护农民工合法权益。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560" w:firstLineChars="2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8"/>
          <w:szCs w:val="28"/>
          <w:shd w:val="clear" w:fill="FFFFFF"/>
        </w:rPr>
        <w:t>（十一）拟订政府绩效考核方案及指标体系；会同有关部门组织实施全区政府绩效考核与管理工作；综合掌握全区政府绩效考核与管理工作动态；负责迎接市绩效评估检查验收的综合协调工作；承办区绩效考核领导小组办公室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560" w:firstLineChars="200"/>
        <w:jc w:val="both"/>
        <w:rPr>
          <w:rFonts w:hint="eastAsia" w:ascii="宋体" w:hAnsi="宋体" w:eastAsia="宋体" w:cs="宋体"/>
          <w:i w:val="0"/>
          <w:caps w:val="0"/>
          <w:color w:val="auto"/>
          <w:spacing w:val="0"/>
          <w:sz w:val="28"/>
          <w:szCs w:val="28"/>
          <w:shd w:val="clear" w:fill="FFFFFF"/>
        </w:rPr>
      </w:pPr>
      <w:r>
        <w:rPr>
          <w:rFonts w:hint="eastAsia" w:ascii="宋体" w:hAnsi="宋体" w:eastAsia="宋体" w:cs="宋体"/>
          <w:i w:val="0"/>
          <w:caps w:val="0"/>
          <w:color w:val="auto"/>
          <w:spacing w:val="0"/>
          <w:sz w:val="28"/>
          <w:szCs w:val="28"/>
          <w:shd w:val="clear" w:fill="FFFFFF"/>
        </w:rPr>
        <w:t>（十二）负责全区民兵武器装备的管理工作。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560" w:firstLineChars="2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8"/>
          <w:szCs w:val="28"/>
          <w:shd w:val="clear" w:fill="FFFFFF"/>
        </w:rPr>
        <w:t>（十三）完成区委、区政府交办的其他任务。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jc w:val="both"/>
        <w:rPr>
          <w:rFonts w:hint="eastAsia" w:ascii="宋体" w:hAnsi="宋体" w:eastAsia="宋体" w:cs="宋体"/>
          <w:color w:val="auto"/>
          <w:sz w:val="21"/>
          <w:szCs w:val="21"/>
        </w:rPr>
      </w:pPr>
      <w:r>
        <w:rPr>
          <w:rFonts w:hint="eastAsia" w:ascii="宋体" w:hAnsi="宋体" w:eastAsia="宋体" w:cs="宋体"/>
          <w:b/>
          <w:i w:val="0"/>
          <w:caps w:val="0"/>
          <w:color w:val="auto"/>
          <w:spacing w:val="0"/>
          <w:sz w:val="28"/>
          <w:szCs w:val="28"/>
          <w:shd w:val="clear" w:fill="FFFFFF"/>
        </w:rPr>
        <w:t>2、机构设置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280" w:firstLineChars="1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8"/>
          <w:szCs w:val="28"/>
          <w:shd w:val="clear" w:fill="FFFFFF"/>
        </w:rPr>
        <w:t>（一）办公室。负责机关日常运转，承担文电、会务、调研、机要、档案、统计、政务公开、安全保密、综合治理工作；负责机关行政后勤接待工作；负责重要文稿起草和新闻宣传工作；负责工青妇、关心下一代和离退休人员管理服务工作；综合协调人大代表建议和政协委员提案办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280" w:firstLineChars="1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8"/>
          <w:szCs w:val="28"/>
          <w:shd w:val="clear" w:fill="FFFFFF"/>
        </w:rPr>
        <w:t>（二）法制股。组织开展政策研究，协调专家咨询工作；承担重大行政决策、规范性文件的合法性审查工作；承担行政复议、行政应诉和听证工作；指导和监督依法行政，组织开展行政执法监督检查；负责普法教育培训和其他法律性事务；牵头负责“互联网+政务服务”一体化平台建设、管理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280" w:firstLineChars="1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8"/>
          <w:szCs w:val="28"/>
          <w:shd w:val="clear" w:fill="FFFFFF"/>
        </w:rPr>
        <w:t>（三）财务审计股。编制相关社会保险基金预决算草案，参与拟订相关社会保障资金（基金）财务管理制度；管理区本级人社事业经费；负责机关财务、政府采购、国有资产管理和内部审计，指导监督直属单位相关工作；组织协调信息规划和统计管理工作；监管就业专项资金和扶持公共就业服务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280" w:firstLineChars="1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8"/>
          <w:szCs w:val="28"/>
          <w:shd w:val="clear" w:fill="FFFFFF"/>
          <w:lang w:val="en-US" w:eastAsia="zh-CN" w:bidi="ar"/>
        </w:rPr>
        <w:t>（四）就业促进与失业保险股。拟订促进城乡统筹就业发展规划、年度计划和创业带动就业优惠政策并组织实施；指导实施高校毕业生就业政策；指导实施促进特殊群体就业和就业援助政策；组织实施就业专项资金和扶持公共就业服务资金使用管理办法；贯彻执行失业保险基金管理办法、待遇项目和给付标准；建立健全失业预警制度；负责基层人社平台建设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280" w:firstLineChars="1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8"/>
          <w:szCs w:val="28"/>
          <w:shd w:val="clear" w:fill="FFFFFF"/>
        </w:rPr>
        <w:t>（五）事业单位人事管理股（专业技术人员管理股）。指导全区事业单位人事制度改革和公开招聘工作；承办事业单位岗位设置备案事宜；负责事业单位工作人员的考核、奖惩和信息管理工作；执行事业单位人员调配规定，承办国家政策性安置人员和特殊需要人员的安置调配工作；负责高校毕业生“三支一扶”工作；负责专业技术人员管理和继续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280" w:firstLineChars="1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8"/>
          <w:szCs w:val="28"/>
          <w:shd w:val="clear" w:fill="FFFFFF"/>
        </w:rPr>
        <w:t>（六）工资福利股（人事政工股）。负责全区事业单位和机关工勤人员工资、福利、退休审批工作；承担事业单位工资总额管理和工资统计；负责相关人员工资、奖金、津贴补贴、离退休费管理；落实事业单位工作时间、休假制度、工龄计算及工作人员的疾病、工伤、生育停工期间待遇、死亡抚恤等政策；负责区直事业单位绩效工资总量管理工作。负责机关和直属单位人事管理、机构编制、劳动工资、社会保险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280" w:firstLineChars="1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8"/>
          <w:szCs w:val="28"/>
          <w:shd w:val="clear" w:fill="FFFFFF"/>
        </w:rPr>
        <w:t>（七）社会养老保险股。组织实施机关企事业单位养老保险政策和老工伤人员伤残保健金政策；落实城镇企业职工退休、工龄与缴费年限计算政策、城镇死亡职工遗属待遇与非因公伤残人员待遇政策；负责养老保险关系在区本级职工退休审批和全区企业职工特殊工种提前退休的初审、呈报工作；负责区本级参保离休人员护理费、特需费、生活补贴和建国前参加革命工作退休老工人生活补贴审批；负责区本级参保人员死亡一次性抚恤费、丧葬费和生活困难补助审批；负责移交地方管理的军队无军籍退休退职职工养老金核实。负责有关机构承办补充养老保险业务资格认定和企业补充养老保险方案审定；组织实施城乡居民养老保险和被征地农民社会保障政策；指导督促全区城乡居民养老保险基金筹集、给付和养老保险关系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280" w:firstLineChars="1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8"/>
          <w:szCs w:val="28"/>
          <w:shd w:val="clear" w:fill="FFFFFF"/>
        </w:rPr>
        <w:t>（八）工伤保险股。组织实施工伤保险政策；负责全区企事业单位的工伤案件调查和工伤认定；负责工伤保险费率的审定和调整；参与审核各项工伤保险调剂金的分配方案；负责难以按工资总额缴纳工伤保险费的行业和企业核定；依法指导、监督工伤保险经办机构的业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280" w:firstLineChars="1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8"/>
          <w:szCs w:val="28"/>
          <w:shd w:val="clear" w:fill="FFFFFF"/>
        </w:rPr>
        <w:t>（九）社会保险基金监督股。贯彻执行社会保险基金监督政策，综合协调和监督各项社会保险基金管理工作；指导监督社会保险经办机构内部控制制度建设；统一核领（发）各项社会保险基金票据；管理社会保险基金监督举报系统，受理投诉举报，查处违规行为。负责机关党建和纪检监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280" w:firstLineChars="1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8"/>
          <w:szCs w:val="28"/>
          <w:shd w:val="clear" w:fill="FFFFFF"/>
        </w:rPr>
        <w:t>（十）绩效考核股。拟订政府绩效考核方案及指标体系;会同有关部门组织实施全区政府绩效考核与管理工作；综合掌握全区政府绩效考核与管理工作动态；负责迎接市绩效评估检查</w:t>
      </w:r>
      <w:r>
        <w:rPr>
          <w:rFonts w:hint="eastAsia" w:ascii="宋体" w:hAnsi="宋体" w:eastAsia="宋体" w:cs="宋体"/>
          <w:i w:val="0"/>
          <w:caps w:val="0"/>
          <w:color w:val="auto"/>
          <w:spacing w:val="-8"/>
          <w:sz w:val="28"/>
          <w:szCs w:val="28"/>
          <w:shd w:val="clear" w:fill="FFFFFF"/>
        </w:rPr>
        <w:t>验收的综合协调工作；承办区绩效考核领导小组办公室日常工作。</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rPr>
          <w:color w:val="auto"/>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left="0" w:right="0" w:firstLine="560"/>
        <w:jc w:val="both"/>
        <w:rPr>
          <w:color w:val="auto"/>
          <w:sz w:val="21"/>
          <w:szCs w:val="21"/>
        </w:rPr>
      </w:pPr>
      <w:r>
        <w:rPr>
          <w:rFonts w:hint="eastAsia" w:ascii="宋体" w:hAnsi="宋体" w:eastAsia="宋体" w:cs="宋体"/>
          <w:i w:val="0"/>
          <w:caps w:val="0"/>
          <w:color w:val="auto"/>
          <w:spacing w:val="0"/>
          <w:sz w:val="28"/>
          <w:szCs w:val="28"/>
          <w:shd w:val="clear" w:fill="FFFFFF"/>
        </w:rPr>
        <w:t>（十一）职业能力建设股。拟订城乡劳动者职业培训规划并指导实施；指导开展技工学校教育和职业技能培训，指导师资队伍和教材建设；贯彻执行技能人员的国家职业分类、职业技能标准和职业资格目录清单制度，核发《职业资格证书》。指导监督职业技能鉴定和职业技能培训机构工作，负责职业技能培训和创业培训定点机构的资格认定。组织实施机关事业单位工勤人员岗位等级规范及技术等级岗位考核工作；负责工勤技能人员的继续教育管理工作；承担区技工院校资助管理工作。</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left="0" w:right="0" w:firstLine="548"/>
        <w:jc w:val="both"/>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8"/>
          <w:szCs w:val="28"/>
          <w:shd w:val="clear" w:fill="FFFFFF"/>
          <w:lang w:val="en-US" w:eastAsia="zh-CN" w:bidi="ar"/>
        </w:rPr>
        <w:t>劳动人事争议仲裁院。负责劳动合同备案、劳动关系确认和特殊工时审批；承办全区劳动、人事争议仲裁人员、调解人员的业务培训及仲裁员管理工作；负责处理有关劳动、人事争议案件，指导乡镇（街道、经开区）劳动、人事争议调解工作；协调处理与劳动、人事争议有关的群众性突发事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rightChars="0" w:firstLine="280" w:firstLineChars="100"/>
        <w:jc w:val="both"/>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（十三）益阳市资阳区工伤保险服务中心。</w:t>
      </w:r>
      <w:r>
        <w:rPr>
          <w:rFonts w:hint="eastAsia" w:ascii="宋体" w:hAnsi="宋体" w:eastAsia="宋体" w:cs="宋体"/>
          <w:i w:val="0"/>
          <w:caps w:val="0"/>
          <w:color w:val="auto"/>
          <w:spacing w:val="0"/>
          <w:sz w:val="28"/>
          <w:szCs w:val="28"/>
          <w:shd w:val="clear" w:fill="FFFFFF"/>
        </w:rPr>
        <w:t>组织实施工伤等保险政策和标准；贯彻执行工伤保险政策</w:t>
      </w:r>
      <w:r>
        <w:rPr>
          <w:rFonts w:hint="eastAsia" w:ascii="宋体" w:hAnsi="宋体" w:eastAsia="宋体" w:cs="宋体"/>
          <w:i w:val="0"/>
          <w:caps w:val="0"/>
          <w:color w:val="auto"/>
          <w:spacing w:val="0"/>
          <w:sz w:val="28"/>
          <w:szCs w:val="28"/>
          <w:shd w:val="clear" w:fill="FFFFFF"/>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rightChars="0" w:firstLine="280" w:firstLineChars="100"/>
        <w:jc w:val="both"/>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十四）益阳市资阳区人力资源市场管理中心。对全区人力资源和社会保障工作进行综合管理、监督指导、协调服务。负责全区人力资源开发综合管理。拟订并组织实施全区人力资源市场发展规划和人力资源流动政策；指导全区建立统一规范的人力资源市场，促进人力资源合理流动、有效配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left="548" w:leftChars="0" w:right="0" w:rightChars="0"/>
        <w:jc w:val="both"/>
        <w:rPr>
          <w:rFonts w:hint="eastAsia" w:ascii="宋体" w:hAnsi="宋体" w:eastAsia="宋体" w:cs="宋体"/>
          <w:i w:val="0"/>
          <w:caps w:val="0"/>
          <w:color w:val="auto"/>
          <w:spacing w:val="0"/>
          <w:kern w:val="0"/>
          <w:sz w:val="28"/>
          <w:szCs w:val="28"/>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rightChars="0" w:firstLine="280" w:firstLineChars="100"/>
        <w:jc w:val="both"/>
        <w:rPr>
          <w:color w:val="auto"/>
          <w:sz w:val="21"/>
          <w:szCs w:val="21"/>
        </w:rPr>
      </w:pPr>
      <w:r>
        <w:rPr>
          <w:rFonts w:hint="eastAsia" w:ascii="宋体" w:hAnsi="宋体" w:eastAsia="宋体" w:cs="宋体"/>
          <w:i w:val="0"/>
          <w:caps w:val="0"/>
          <w:color w:val="auto"/>
          <w:spacing w:val="0"/>
          <w:kern w:val="0"/>
          <w:sz w:val="28"/>
          <w:szCs w:val="28"/>
          <w:shd w:val="clear" w:fill="FFFFFF"/>
          <w:lang w:val="en-US" w:eastAsia="zh-CN" w:bidi="ar"/>
        </w:rPr>
        <w:t>（十五）益阳市资阳区劳动监察局。组织实施劳动人事争议调解仲裁工作规划，执行劳动关系政策，完善劳动关系协商协调机制；组织实施劳动保障监察，协调劳动者维权工作，依法查处重大案件。</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left="0" w:right="0" w:firstLine="627"/>
        <w:jc w:val="both"/>
        <w:rPr>
          <w:rFonts w:hint="eastAsia" w:ascii="黑体" w:hAnsi="宋体" w:eastAsia="黑体" w:cs="黑体"/>
          <w:i w:val="0"/>
          <w:caps w:val="0"/>
          <w:color w:val="auto"/>
          <w:spacing w:val="0"/>
          <w:kern w:val="0"/>
          <w:sz w:val="32"/>
          <w:szCs w:val="32"/>
          <w:shd w:val="clear" w:fill="FFFFFF"/>
          <w:lang w:val="en-US" w:eastAsia="zh-CN" w:bidi="ar"/>
        </w:rPr>
      </w:pPr>
      <w:r>
        <w:rPr>
          <w:rFonts w:hint="eastAsia" w:ascii="黑体" w:hAnsi="宋体" w:eastAsia="黑体" w:cs="黑体"/>
          <w:i w:val="0"/>
          <w:caps w:val="0"/>
          <w:color w:val="auto"/>
          <w:spacing w:val="0"/>
          <w:kern w:val="0"/>
          <w:sz w:val="32"/>
          <w:szCs w:val="32"/>
          <w:shd w:val="clear" w:fill="FFFFFF"/>
          <w:lang w:val="en-US" w:eastAsia="zh-CN" w:bidi="ar"/>
        </w:rPr>
        <w:t>部门预算单位构成</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rightChars="0"/>
        <w:jc w:val="both"/>
        <w:rPr>
          <w:rFonts w:eastAsia="仿宋_GB2312"/>
          <w:color w:val="auto"/>
          <w:sz w:val="32"/>
          <w:szCs w:val="32"/>
        </w:rPr>
      </w:pPr>
      <w:r>
        <w:rPr>
          <w:rFonts w:eastAsia="仿宋_GB2312"/>
          <w:sz w:val="32"/>
          <w:szCs w:val="32"/>
        </w:rPr>
        <w:t>纳入</w:t>
      </w:r>
      <w:r>
        <w:rPr>
          <w:rFonts w:hint="eastAsia" w:eastAsia="仿宋_GB2312"/>
          <w:sz w:val="32"/>
          <w:szCs w:val="32"/>
          <w:lang w:val="en-US" w:eastAsia="zh-CN"/>
        </w:rPr>
        <w:t>2020</w:t>
      </w:r>
      <w:r>
        <w:rPr>
          <w:rFonts w:eastAsia="仿宋_GB2312"/>
          <w:sz w:val="32"/>
          <w:szCs w:val="32"/>
        </w:rPr>
        <w:t>年</w:t>
      </w:r>
      <w:r>
        <w:rPr>
          <w:rFonts w:hint="eastAsia" w:eastAsia="仿宋_GB2312"/>
          <w:sz w:val="32"/>
          <w:szCs w:val="32"/>
          <w:lang w:eastAsia="zh-CN"/>
        </w:rPr>
        <w:t>益阳市资阳区人力资源和社会保障局</w:t>
      </w:r>
      <w:r>
        <w:rPr>
          <w:rFonts w:eastAsia="仿宋_GB2312"/>
          <w:sz w:val="32"/>
          <w:szCs w:val="32"/>
        </w:rPr>
        <w:t>部门预算编制范围的预算单位</w:t>
      </w:r>
      <w:r>
        <w:rPr>
          <w:rFonts w:hint="eastAsia" w:eastAsia="仿宋_GB2312"/>
          <w:sz w:val="32"/>
          <w:szCs w:val="32"/>
          <w:lang w:eastAsia="zh-CN"/>
        </w:rPr>
        <w:t>仅</w:t>
      </w:r>
      <w:r>
        <w:rPr>
          <w:rFonts w:eastAsia="仿宋_GB2312"/>
          <w:sz w:val="32"/>
          <w:szCs w:val="32"/>
        </w:rPr>
        <w:t>包括</w:t>
      </w:r>
      <w:r>
        <w:rPr>
          <w:rFonts w:hint="eastAsia" w:ascii="仿宋_GB2312" w:hAnsi="宋体" w:eastAsia="仿宋_GB2312" w:cs="仿宋_GB2312"/>
          <w:i w:val="0"/>
          <w:caps w:val="0"/>
          <w:color w:val="auto"/>
          <w:spacing w:val="0"/>
          <w:kern w:val="0"/>
          <w:sz w:val="32"/>
          <w:szCs w:val="32"/>
          <w:shd w:val="clear" w:fill="FFFFFF"/>
          <w:lang w:val="en-US" w:eastAsia="zh-CN" w:bidi="ar"/>
        </w:rPr>
        <w:t>益阳市资阳区人力资源和社会保障局本级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640" w:firstLineChars="200"/>
        <w:jc w:val="both"/>
        <w:rPr>
          <w:rFonts w:hint="eastAsia" w:ascii="宋体" w:hAnsi="宋体" w:eastAsia="宋体" w:cs="宋体"/>
          <w:color w:val="auto"/>
          <w:sz w:val="21"/>
          <w:szCs w:val="21"/>
        </w:rPr>
      </w:pPr>
      <w:r>
        <w:rPr>
          <w:rFonts w:hint="eastAsia" w:ascii="黑体" w:hAnsi="Times New Roman" w:eastAsia="黑体" w:cs="黑体"/>
          <w:i w:val="0"/>
          <w:caps w:val="0"/>
          <w:color w:val="auto"/>
          <w:spacing w:val="0"/>
          <w:kern w:val="0"/>
          <w:sz w:val="32"/>
          <w:szCs w:val="32"/>
          <w:shd w:val="clear" w:fill="FFFFFF"/>
          <w:lang w:val="en-US" w:eastAsia="zh-CN" w:bidi="ar"/>
        </w:rPr>
        <w:t>三、部门</w:t>
      </w:r>
      <w:r>
        <w:rPr>
          <w:rFonts w:hint="eastAsia" w:ascii="黑体" w:hAnsi="宋体" w:eastAsia="黑体" w:cs="黑体"/>
          <w:i w:val="0"/>
          <w:caps w:val="0"/>
          <w:color w:val="auto"/>
          <w:spacing w:val="0"/>
          <w:kern w:val="0"/>
          <w:sz w:val="32"/>
          <w:szCs w:val="32"/>
          <w:shd w:val="clear" w:fill="FFFFFF"/>
          <w:lang w:val="en-US" w:eastAsia="zh-CN" w:bidi="ar"/>
        </w:rPr>
        <w:t>预算</w:t>
      </w:r>
      <w:r>
        <w:rPr>
          <w:rFonts w:hint="eastAsia" w:ascii="黑体" w:hAnsi="Times New Roman" w:eastAsia="黑体" w:cs="黑体"/>
          <w:i w:val="0"/>
          <w:caps w:val="0"/>
          <w:color w:val="auto"/>
          <w:spacing w:val="0"/>
          <w:kern w:val="0"/>
          <w:sz w:val="32"/>
          <w:szCs w:val="32"/>
          <w:shd w:val="clear" w:fill="FFFFFF"/>
          <w:lang w:val="en-US" w:eastAsia="zh-CN" w:bidi="ar"/>
        </w:rPr>
        <w:t>收支概况</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rPr>
          <w:color w:val="auto"/>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left"/>
        <w:rPr>
          <w:color w:val="auto"/>
          <w:sz w:val="21"/>
          <w:szCs w:val="21"/>
        </w:rPr>
      </w:pPr>
      <w:r>
        <w:rPr>
          <w:rFonts w:hint="eastAsia" w:ascii="宋体" w:hAnsi="宋体" w:eastAsia="宋体" w:cs="宋体"/>
          <w:i w:val="0"/>
          <w:caps w:val="0"/>
          <w:color w:val="auto"/>
          <w:spacing w:val="0"/>
          <w:sz w:val="28"/>
          <w:szCs w:val="28"/>
          <w:shd w:val="clear" w:fill="FFFFFF"/>
          <w:lang w:eastAsia="zh-CN"/>
        </w:rPr>
        <w:t>2020</w:t>
      </w:r>
      <w:r>
        <w:rPr>
          <w:rFonts w:hint="eastAsia" w:ascii="仿宋_GB2312" w:hAnsi="宋体" w:eastAsia="仿宋_GB2312" w:cs="仿宋_GB2312"/>
          <w:i w:val="0"/>
          <w:caps w:val="0"/>
          <w:color w:val="auto"/>
          <w:spacing w:val="0"/>
          <w:kern w:val="0"/>
          <w:sz w:val="32"/>
          <w:szCs w:val="32"/>
          <w:shd w:val="clear" w:fill="FFFFFF"/>
          <w:lang w:val="en-US" w:eastAsia="zh-CN" w:bidi="ar"/>
        </w:rPr>
        <w:t>年部门预算仅包括益阳市资阳区人力资源和社会保障局本级预算。收入既包括一般公共预算和政府性基金收入，又包括事业单位经营服务等收入；支出既包括保障局机关基本运行的经费，也包括益阳市资阳区人力资源和社会保障局系统归口管理专项经费。</w:t>
      </w:r>
    </w:p>
    <w:p>
      <w:pPr>
        <w:pStyle w:val="3"/>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left="0" w:right="0" w:firstLine="560"/>
        <w:jc w:val="both"/>
        <w:rPr>
          <w:rFonts w:hint="eastAsia" w:ascii="宋体" w:hAnsi="宋体" w:eastAsia="宋体" w:cs="宋体"/>
          <w:i w:val="0"/>
          <w:caps w:val="0"/>
          <w:color w:val="auto"/>
          <w:spacing w:val="0"/>
          <w:sz w:val="28"/>
          <w:szCs w:val="28"/>
          <w:shd w:val="clear" w:fill="FFFFFF"/>
        </w:rPr>
      </w:pPr>
      <w:r>
        <w:rPr>
          <w:rFonts w:hint="eastAsia" w:ascii="宋体" w:hAnsi="宋体" w:eastAsia="宋体" w:cs="宋体"/>
          <w:i w:val="0"/>
          <w:caps w:val="0"/>
          <w:color w:val="auto"/>
          <w:spacing w:val="0"/>
          <w:sz w:val="28"/>
          <w:szCs w:val="28"/>
          <w:shd w:val="clear" w:fill="FFFFFF"/>
        </w:rPr>
        <w:t>收入预算：</w:t>
      </w:r>
      <w:r>
        <w:rPr>
          <w:rFonts w:hint="eastAsia" w:ascii="宋体" w:hAnsi="宋体" w:eastAsia="宋体" w:cs="宋体"/>
          <w:i w:val="0"/>
          <w:caps w:val="0"/>
          <w:color w:val="auto"/>
          <w:spacing w:val="0"/>
          <w:sz w:val="28"/>
          <w:szCs w:val="28"/>
          <w:shd w:val="clear" w:fill="FFFFFF"/>
          <w:lang w:eastAsia="zh-CN"/>
        </w:rPr>
        <w:t>2020</w:t>
      </w:r>
      <w:r>
        <w:rPr>
          <w:rFonts w:hint="eastAsia" w:ascii="宋体" w:hAnsi="宋体" w:eastAsia="宋体" w:cs="宋体"/>
          <w:i w:val="0"/>
          <w:caps w:val="0"/>
          <w:color w:val="auto"/>
          <w:spacing w:val="0"/>
          <w:sz w:val="28"/>
          <w:szCs w:val="28"/>
          <w:shd w:val="clear" w:fill="FFFFFF"/>
        </w:rPr>
        <w:t>年年初预算数</w:t>
      </w:r>
      <w:r>
        <w:rPr>
          <w:rFonts w:hint="eastAsia" w:ascii="宋体" w:hAnsi="宋体" w:eastAsia="宋体" w:cs="宋体"/>
          <w:i w:val="0"/>
          <w:caps w:val="0"/>
          <w:color w:val="auto"/>
          <w:spacing w:val="0"/>
          <w:sz w:val="28"/>
          <w:szCs w:val="28"/>
          <w:shd w:val="clear" w:fill="FFFFFF"/>
          <w:lang w:val="en-US" w:eastAsia="zh-CN"/>
        </w:rPr>
        <w:t>662.82</w:t>
      </w:r>
      <w:r>
        <w:rPr>
          <w:rFonts w:hint="eastAsia" w:ascii="宋体" w:hAnsi="宋体" w:eastAsia="宋体" w:cs="宋体"/>
          <w:i w:val="0"/>
          <w:caps w:val="0"/>
          <w:color w:val="auto"/>
          <w:spacing w:val="0"/>
          <w:sz w:val="28"/>
          <w:szCs w:val="28"/>
          <w:shd w:val="clear" w:fill="FFFFFF"/>
        </w:rPr>
        <w:t>万元，其中，一般公共预算拨款</w:t>
      </w:r>
      <w:r>
        <w:rPr>
          <w:rFonts w:hint="eastAsia" w:ascii="宋体" w:hAnsi="宋体" w:eastAsia="宋体" w:cs="宋体"/>
          <w:i w:val="0"/>
          <w:caps w:val="0"/>
          <w:color w:val="auto"/>
          <w:spacing w:val="0"/>
          <w:sz w:val="28"/>
          <w:szCs w:val="28"/>
          <w:shd w:val="clear" w:fill="FFFFFF"/>
          <w:lang w:val="en-US" w:eastAsia="zh-CN"/>
        </w:rPr>
        <w:t>601.53</w:t>
      </w:r>
      <w:r>
        <w:rPr>
          <w:rFonts w:hint="eastAsia" w:ascii="宋体" w:hAnsi="宋体" w:eastAsia="宋体" w:cs="宋体"/>
          <w:i w:val="0"/>
          <w:caps w:val="0"/>
          <w:color w:val="auto"/>
          <w:spacing w:val="0"/>
          <w:sz w:val="28"/>
          <w:szCs w:val="28"/>
          <w:shd w:val="clear" w:fill="FFFFFF"/>
        </w:rPr>
        <w:t>万元，纳入专户管理的非税收入0万元，其他收入</w:t>
      </w:r>
      <w:r>
        <w:rPr>
          <w:rFonts w:hint="eastAsia" w:ascii="宋体" w:hAnsi="宋体" w:eastAsia="宋体" w:cs="宋体"/>
          <w:i w:val="0"/>
          <w:caps w:val="0"/>
          <w:color w:val="auto"/>
          <w:spacing w:val="0"/>
          <w:sz w:val="28"/>
          <w:szCs w:val="28"/>
          <w:shd w:val="clear" w:fill="FFFFFF"/>
          <w:lang w:val="en-US" w:eastAsia="zh-CN"/>
        </w:rPr>
        <w:t>61.29</w:t>
      </w:r>
      <w:r>
        <w:rPr>
          <w:rFonts w:hint="eastAsia" w:ascii="宋体" w:hAnsi="宋体" w:eastAsia="宋体" w:cs="宋体"/>
          <w:i w:val="0"/>
          <w:caps w:val="0"/>
          <w:color w:val="auto"/>
          <w:spacing w:val="0"/>
          <w:sz w:val="28"/>
          <w:szCs w:val="28"/>
          <w:shd w:val="clear" w:fill="FFFFFF"/>
        </w:rPr>
        <w:t>万元 。收入较去年增加</w:t>
      </w:r>
      <w:r>
        <w:rPr>
          <w:rFonts w:hint="eastAsia" w:ascii="宋体" w:hAnsi="宋体" w:eastAsia="宋体" w:cs="宋体"/>
          <w:i w:val="0"/>
          <w:caps w:val="0"/>
          <w:color w:val="auto"/>
          <w:spacing w:val="0"/>
          <w:sz w:val="28"/>
          <w:szCs w:val="28"/>
          <w:shd w:val="clear" w:fill="FFFFFF"/>
          <w:lang w:val="en-US" w:eastAsia="zh-CN"/>
        </w:rPr>
        <w:t>104.94</w:t>
      </w:r>
      <w:r>
        <w:rPr>
          <w:rFonts w:hint="eastAsia" w:ascii="宋体" w:hAnsi="宋体" w:eastAsia="宋体" w:cs="宋体"/>
          <w:i w:val="0"/>
          <w:caps w:val="0"/>
          <w:color w:val="auto"/>
          <w:spacing w:val="0"/>
          <w:sz w:val="28"/>
          <w:szCs w:val="28"/>
          <w:shd w:val="clear" w:fill="FFFFFF"/>
        </w:rPr>
        <w:t>万元，主要是增人增资以及人员工资的增加。</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rightChars="0" w:firstLine="560" w:firstLineChars="200"/>
        <w:jc w:val="both"/>
        <w:rPr>
          <w:rFonts w:hint="eastAsia" w:ascii="宋体" w:hAnsi="宋体" w:eastAsia="宋体" w:cs="宋体"/>
          <w:i w:val="0"/>
          <w:caps w:val="0"/>
          <w:color w:val="auto"/>
          <w:spacing w:val="0"/>
          <w:sz w:val="28"/>
          <w:szCs w:val="28"/>
          <w:shd w:val="clear" w:fill="FFFFFF"/>
        </w:rPr>
      </w:pPr>
      <w:r>
        <w:rPr>
          <w:rFonts w:hint="eastAsia" w:ascii="宋体" w:hAnsi="宋体" w:eastAsia="宋体" w:cs="宋体"/>
          <w:i w:val="0"/>
          <w:caps w:val="0"/>
          <w:color w:val="auto"/>
          <w:spacing w:val="0"/>
          <w:sz w:val="28"/>
          <w:szCs w:val="28"/>
          <w:shd w:val="clear" w:fill="FFFFFF"/>
        </w:rPr>
        <w:t>本单位没有政府性基金预算收入，也就没有使用政府性基金预算安排的支出。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rPr>
          <w:color w:val="auto"/>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left="0" w:right="0" w:firstLine="56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8"/>
          <w:szCs w:val="28"/>
          <w:shd w:val="clear" w:fill="FFFFFF"/>
        </w:rPr>
        <w:t>（二）支出预算：</w:t>
      </w:r>
      <w:r>
        <w:rPr>
          <w:rFonts w:hint="eastAsia" w:ascii="宋体" w:hAnsi="宋体" w:eastAsia="宋体" w:cs="宋体"/>
          <w:i w:val="0"/>
          <w:caps w:val="0"/>
          <w:color w:val="auto"/>
          <w:spacing w:val="0"/>
          <w:sz w:val="28"/>
          <w:szCs w:val="28"/>
          <w:shd w:val="clear" w:fill="FFFFFF"/>
          <w:lang w:eastAsia="zh-CN"/>
        </w:rPr>
        <w:t>2020</w:t>
      </w:r>
      <w:r>
        <w:rPr>
          <w:rFonts w:hint="eastAsia" w:ascii="宋体" w:hAnsi="宋体" w:eastAsia="宋体" w:cs="宋体"/>
          <w:i w:val="0"/>
          <w:caps w:val="0"/>
          <w:color w:val="auto"/>
          <w:spacing w:val="0"/>
          <w:sz w:val="28"/>
          <w:szCs w:val="28"/>
          <w:shd w:val="clear" w:fill="FFFFFF"/>
        </w:rPr>
        <w:t>年年初预算数</w:t>
      </w:r>
      <w:r>
        <w:rPr>
          <w:rFonts w:hint="eastAsia" w:ascii="宋体" w:hAnsi="宋体" w:eastAsia="宋体" w:cs="宋体"/>
          <w:i w:val="0"/>
          <w:caps w:val="0"/>
          <w:color w:val="auto"/>
          <w:spacing w:val="0"/>
          <w:sz w:val="28"/>
          <w:szCs w:val="28"/>
          <w:shd w:val="clear" w:fill="FFFFFF"/>
          <w:lang w:val="en-US" w:eastAsia="zh-CN"/>
        </w:rPr>
        <w:t>662.82</w:t>
      </w:r>
      <w:r>
        <w:rPr>
          <w:rFonts w:hint="eastAsia" w:ascii="宋体" w:hAnsi="宋体" w:eastAsia="宋体" w:cs="宋体"/>
          <w:i w:val="0"/>
          <w:caps w:val="0"/>
          <w:color w:val="auto"/>
          <w:spacing w:val="0"/>
          <w:sz w:val="28"/>
          <w:szCs w:val="28"/>
          <w:shd w:val="clear" w:fill="FFFFFF"/>
        </w:rPr>
        <w:t>万元，其中，社会保障就业支出</w:t>
      </w:r>
      <w:r>
        <w:rPr>
          <w:rFonts w:hint="eastAsia" w:ascii="宋体" w:hAnsi="宋体" w:eastAsia="宋体" w:cs="宋体"/>
          <w:i w:val="0"/>
          <w:caps w:val="0"/>
          <w:color w:val="auto"/>
          <w:spacing w:val="0"/>
          <w:sz w:val="28"/>
          <w:szCs w:val="28"/>
          <w:shd w:val="clear" w:fill="FFFFFF"/>
          <w:lang w:val="en-US" w:eastAsia="zh-CN"/>
        </w:rPr>
        <w:t>587.09</w:t>
      </w:r>
      <w:r>
        <w:rPr>
          <w:rFonts w:hint="eastAsia" w:ascii="宋体" w:hAnsi="宋体" w:eastAsia="宋体" w:cs="宋体"/>
          <w:i w:val="0"/>
          <w:caps w:val="0"/>
          <w:color w:val="auto"/>
          <w:spacing w:val="0"/>
          <w:sz w:val="28"/>
          <w:szCs w:val="28"/>
          <w:shd w:val="clear" w:fill="FFFFFF"/>
        </w:rPr>
        <w:t>万元，卫生健康支出</w:t>
      </w:r>
      <w:r>
        <w:rPr>
          <w:rFonts w:hint="eastAsia" w:ascii="宋体" w:hAnsi="宋体" w:eastAsia="宋体" w:cs="宋体"/>
          <w:i w:val="0"/>
          <w:caps w:val="0"/>
          <w:color w:val="auto"/>
          <w:spacing w:val="0"/>
          <w:sz w:val="28"/>
          <w:szCs w:val="28"/>
          <w:shd w:val="clear" w:fill="FFFFFF"/>
          <w:lang w:val="en-US" w:eastAsia="zh-CN"/>
        </w:rPr>
        <w:t>43.31</w:t>
      </w:r>
      <w:r>
        <w:rPr>
          <w:rFonts w:hint="eastAsia" w:ascii="宋体" w:hAnsi="宋体" w:eastAsia="宋体" w:cs="宋体"/>
          <w:i w:val="0"/>
          <w:caps w:val="0"/>
          <w:color w:val="auto"/>
          <w:spacing w:val="0"/>
          <w:sz w:val="28"/>
          <w:szCs w:val="28"/>
          <w:shd w:val="clear" w:fill="FFFFFF"/>
        </w:rPr>
        <w:t>万元，住房保障支出</w:t>
      </w:r>
      <w:r>
        <w:rPr>
          <w:rFonts w:hint="eastAsia" w:ascii="宋体" w:hAnsi="宋体" w:eastAsia="宋体" w:cs="宋体"/>
          <w:i w:val="0"/>
          <w:caps w:val="0"/>
          <w:color w:val="auto"/>
          <w:spacing w:val="0"/>
          <w:sz w:val="28"/>
          <w:szCs w:val="28"/>
          <w:shd w:val="clear" w:fill="FFFFFF"/>
          <w:lang w:val="en-US" w:eastAsia="zh-CN"/>
        </w:rPr>
        <w:t>32.42</w:t>
      </w:r>
      <w:r>
        <w:rPr>
          <w:rFonts w:hint="eastAsia" w:ascii="宋体" w:hAnsi="宋体" w:eastAsia="宋体" w:cs="宋体"/>
          <w:i w:val="0"/>
          <w:caps w:val="0"/>
          <w:color w:val="auto"/>
          <w:spacing w:val="0"/>
          <w:sz w:val="28"/>
          <w:szCs w:val="28"/>
          <w:shd w:val="clear" w:fill="FFFFFF"/>
        </w:rPr>
        <w:t>万元，支出较去年增加</w:t>
      </w:r>
      <w:r>
        <w:rPr>
          <w:rFonts w:hint="eastAsia" w:ascii="宋体" w:hAnsi="宋体" w:eastAsia="宋体" w:cs="宋体"/>
          <w:i w:val="0"/>
          <w:caps w:val="0"/>
          <w:color w:val="auto"/>
          <w:spacing w:val="0"/>
          <w:sz w:val="28"/>
          <w:szCs w:val="28"/>
          <w:shd w:val="clear" w:fill="FFFFFF"/>
          <w:lang w:val="en-US" w:eastAsia="zh-CN"/>
        </w:rPr>
        <w:t>104.94</w:t>
      </w:r>
      <w:r>
        <w:rPr>
          <w:rFonts w:hint="eastAsia" w:ascii="宋体" w:hAnsi="宋体" w:eastAsia="宋体" w:cs="宋体"/>
          <w:i w:val="0"/>
          <w:caps w:val="0"/>
          <w:color w:val="auto"/>
          <w:spacing w:val="0"/>
          <w:sz w:val="28"/>
          <w:szCs w:val="28"/>
          <w:shd w:val="clear" w:fill="FFFFFF"/>
        </w:rPr>
        <w:t>万元，主要是增人增资以及人员工资的增加。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jc w:val="both"/>
        <w:rPr>
          <w:rFonts w:hint="eastAsia" w:ascii="宋体" w:hAnsi="宋体" w:eastAsia="宋体" w:cs="宋体"/>
          <w:color w:val="auto"/>
          <w:sz w:val="21"/>
          <w:szCs w:val="21"/>
        </w:rPr>
      </w:pPr>
      <w:r>
        <w:rPr>
          <w:rFonts w:hint="eastAsia" w:ascii="黑体" w:hAnsi="Times New Roman" w:eastAsia="黑体" w:cs="黑体"/>
          <w:i w:val="0"/>
          <w:caps w:val="0"/>
          <w:color w:val="auto"/>
          <w:spacing w:val="0"/>
          <w:kern w:val="0"/>
          <w:sz w:val="32"/>
          <w:szCs w:val="32"/>
          <w:shd w:val="clear" w:fill="FFFFFF"/>
          <w:lang w:val="en-US" w:eastAsia="zh-CN" w:bidi="ar"/>
        </w:rPr>
        <w:t>四、一般公共预算拨款支出预算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560" w:firstLineChars="2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sz w:val="28"/>
          <w:szCs w:val="28"/>
          <w:shd w:val="clear" w:fill="FFFFFF"/>
          <w:lang w:eastAsia="zh-CN"/>
        </w:rPr>
        <w:t>2020</w:t>
      </w:r>
      <w:r>
        <w:rPr>
          <w:rFonts w:hint="eastAsia" w:ascii="宋体" w:hAnsi="宋体" w:eastAsia="宋体" w:cs="宋体"/>
          <w:i w:val="0"/>
          <w:caps w:val="0"/>
          <w:color w:val="auto"/>
          <w:spacing w:val="0"/>
          <w:sz w:val="28"/>
          <w:szCs w:val="28"/>
          <w:shd w:val="clear" w:fill="FFFFFF"/>
        </w:rPr>
        <w:t>年一般公共预算拨款收入</w:t>
      </w:r>
      <w:r>
        <w:rPr>
          <w:rFonts w:hint="eastAsia" w:ascii="宋体" w:hAnsi="宋体" w:eastAsia="宋体" w:cs="宋体"/>
          <w:i w:val="0"/>
          <w:caps w:val="0"/>
          <w:color w:val="auto"/>
          <w:spacing w:val="0"/>
          <w:sz w:val="28"/>
          <w:szCs w:val="28"/>
          <w:shd w:val="clear" w:fill="FFFFFF"/>
          <w:lang w:val="en-US" w:eastAsia="zh-CN"/>
        </w:rPr>
        <w:t>601.53</w:t>
      </w:r>
      <w:r>
        <w:rPr>
          <w:rFonts w:hint="eastAsia" w:ascii="宋体" w:hAnsi="宋体" w:eastAsia="宋体" w:cs="宋体"/>
          <w:i w:val="0"/>
          <w:caps w:val="0"/>
          <w:color w:val="auto"/>
          <w:spacing w:val="0"/>
          <w:sz w:val="28"/>
          <w:szCs w:val="28"/>
          <w:shd w:val="clear" w:fill="FFFFFF"/>
        </w:rPr>
        <w:t>万元，具体安排情况如下：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560" w:firstLineChars="200"/>
        <w:jc w:val="both"/>
        <w:rPr>
          <w:color w:val="auto"/>
          <w:sz w:val="21"/>
          <w:szCs w:val="21"/>
        </w:rPr>
      </w:pPr>
      <w:r>
        <w:rPr>
          <w:rFonts w:hint="eastAsia" w:ascii="宋体" w:hAnsi="宋体" w:eastAsia="宋体" w:cs="宋体"/>
          <w:i w:val="0"/>
          <w:caps w:val="0"/>
          <w:color w:val="auto"/>
          <w:spacing w:val="0"/>
          <w:sz w:val="28"/>
          <w:szCs w:val="28"/>
          <w:shd w:val="clear" w:fill="FFFFFF"/>
        </w:rPr>
        <w:t>（一）基本支出：</w:t>
      </w:r>
      <w:r>
        <w:rPr>
          <w:rFonts w:hint="eastAsia" w:ascii="宋体" w:hAnsi="宋体" w:eastAsia="宋体" w:cs="宋体"/>
          <w:i w:val="0"/>
          <w:caps w:val="0"/>
          <w:color w:val="auto"/>
          <w:spacing w:val="0"/>
          <w:sz w:val="28"/>
          <w:szCs w:val="28"/>
          <w:shd w:val="clear" w:fill="FFFFFF"/>
          <w:lang w:eastAsia="zh-CN"/>
        </w:rPr>
        <w:t>2020</w:t>
      </w:r>
      <w:r>
        <w:rPr>
          <w:rFonts w:hint="eastAsia" w:ascii="宋体" w:hAnsi="宋体" w:eastAsia="宋体" w:cs="宋体"/>
          <w:i w:val="0"/>
          <w:caps w:val="0"/>
          <w:color w:val="auto"/>
          <w:spacing w:val="0"/>
          <w:sz w:val="28"/>
          <w:szCs w:val="28"/>
          <w:shd w:val="clear" w:fill="FFFFFF"/>
        </w:rPr>
        <w:t>年年初预算数为</w:t>
      </w:r>
      <w:r>
        <w:rPr>
          <w:rFonts w:hint="eastAsia" w:ascii="宋体" w:hAnsi="宋体" w:eastAsia="宋体" w:cs="宋体"/>
          <w:i w:val="0"/>
          <w:caps w:val="0"/>
          <w:color w:val="auto"/>
          <w:spacing w:val="0"/>
          <w:sz w:val="28"/>
          <w:szCs w:val="28"/>
          <w:shd w:val="clear" w:fill="FFFFFF"/>
          <w:lang w:val="en-US" w:eastAsia="zh-CN"/>
        </w:rPr>
        <w:t>449.53</w:t>
      </w:r>
      <w:r>
        <w:rPr>
          <w:rFonts w:hint="eastAsia" w:ascii="宋体" w:hAnsi="宋体" w:eastAsia="宋体" w:cs="宋体"/>
          <w:i w:val="0"/>
          <w:caps w:val="0"/>
          <w:color w:val="auto"/>
          <w:spacing w:val="0"/>
          <w:sz w:val="28"/>
          <w:szCs w:val="28"/>
          <w:shd w:val="clear" w:fill="FFFFFF"/>
        </w:rPr>
        <w:t>万元，是指为保障单位机构正常运转、完成日常工作任务而发生的各项支出，包括用于基本工资、津贴补贴等人员经费以及办公费、印刷费、水电费、办公设备购置等日常公用经费。</w:t>
      </w:r>
    </w:p>
    <w:p>
      <w:pPr>
        <w:pStyle w:val="3"/>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left="0" w:leftChars="0" w:right="0" w:firstLine="560" w:firstLineChars="0"/>
        <w:jc w:val="both"/>
        <w:rPr>
          <w:rFonts w:hint="eastAsia" w:asciiTheme="majorEastAsia" w:hAnsiTheme="majorEastAsia" w:eastAsiaTheme="majorEastAsia" w:cstheme="majorEastAsia"/>
          <w:i w:val="0"/>
          <w:caps w:val="0"/>
          <w:color w:val="auto"/>
          <w:spacing w:val="0"/>
          <w:sz w:val="28"/>
          <w:szCs w:val="28"/>
          <w:shd w:val="clear" w:fill="FFFFFF"/>
        </w:rPr>
      </w:pPr>
      <w:r>
        <w:rPr>
          <w:rFonts w:hint="eastAsia" w:ascii="宋体" w:hAnsi="宋体" w:eastAsia="宋体" w:cs="宋体"/>
          <w:i w:val="0"/>
          <w:caps w:val="0"/>
          <w:color w:val="auto"/>
          <w:spacing w:val="0"/>
          <w:sz w:val="28"/>
          <w:szCs w:val="28"/>
          <w:shd w:val="clear" w:fill="FFFFFF"/>
        </w:rPr>
        <w:t>项目支出：</w:t>
      </w:r>
      <w:r>
        <w:rPr>
          <w:rFonts w:hint="eastAsia" w:ascii="宋体" w:hAnsi="宋体" w:eastAsia="宋体" w:cs="宋体"/>
          <w:i w:val="0"/>
          <w:caps w:val="0"/>
          <w:color w:val="auto"/>
          <w:spacing w:val="0"/>
          <w:sz w:val="28"/>
          <w:szCs w:val="28"/>
          <w:shd w:val="clear" w:fill="FFFFFF"/>
          <w:lang w:eastAsia="zh-CN"/>
        </w:rPr>
        <w:t>2020</w:t>
      </w:r>
      <w:r>
        <w:rPr>
          <w:rFonts w:hint="eastAsia" w:ascii="宋体" w:hAnsi="宋体" w:eastAsia="宋体" w:cs="宋体"/>
          <w:i w:val="0"/>
          <w:caps w:val="0"/>
          <w:color w:val="auto"/>
          <w:spacing w:val="0"/>
          <w:sz w:val="28"/>
          <w:szCs w:val="28"/>
          <w:shd w:val="clear" w:fill="FFFFFF"/>
        </w:rPr>
        <w:t>年年初预算数为</w:t>
      </w:r>
      <w:r>
        <w:rPr>
          <w:rFonts w:hint="eastAsia" w:ascii="宋体" w:hAnsi="宋体" w:eastAsia="宋体" w:cs="宋体"/>
          <w:i w:val="0"/>
          <w:caps w:val="0"/>
          <w:color w:val="auto"/>
          <w:spacing w:val="0"/>
          <w:sz w:val="28"/>
          <w:szCs w:val="28"/>
          <w:shd w:val="clear" w:fill="FFFFFF"/>
          <w:lang w:val="en-US" w:eastAsia="zh-CN"/>
        </w:rPr>
        <w:t>152</w:t>
      </w:r>
      <w:r>
        <w:rPr>
          <w:rFonts w:hint="eastAsia" w:ascii="宋体" w:hAnsi="宋体" w:eastAsia="宋体" w:cs="宋体"/>
          <w:i w:val="0"/>
          <w:caps w:val="0"/>
          <w:color w:val="auto"/>
          <w:spacing w:val="0"/>
          <w:sz w:val="28"/>
          <w:szCs w:val="28"/>
          <w:shd w:val="clear" w:fill="FFFFFF"/>
        </w:rPr>
        <w:t>万元，是指单位为完成特定行政工作任务或事业发展目标而发生的支出，包括有关事业</w:t>
      </w:r>
      <w:r>
        <w:rPr>
          <w:rFonts w:hint="eastAsia" w:asciiTheme="majorEastAsia" w:hAnsiTheme="majorEastAsia" w:eastAsiaTheme="majorEastAsia" w:cstheme="majorEastAsia"/>
          <w:i w:val="0"/>
          <w:caps w:val="0"/>
          <w:color w:val="auto"/>
          <w:spacing w:val="0"/>
          <w:sz w:val="28"/>
          <w:szCs w:val="28"/>
          <w:shd w:val="clear" w:fill="FFFFFF"/>
        </w:rPr>
        <w:t>发展专项、专项业务费、基本建设支出等。</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rightChars="0" w:firstLine="560" w:firstLineChars="200"/>
        <w:jc w:val="both"/>
        <w:rPr>
          <w:rFonts w:hint="eastAsia" w:asciiTheme="majorEastAsia" w:hAnsiTheme="majorEastAsia" w:eastAsiaTheme="majorEastAsia" w:cstheme="majorEastAsia"/>
          <w:i w:val="0"/>
          <w:caps w:val="0"/>
          <w:color w:val="000000" w:themeColor="text1"/>
          <w:spacing w:val="0"/>
          <w:sz w:val="28"/>
          <w:szCs w:val="28"/>
          <w:shd w:val="clear" w:fill="FFFFFF"/>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其中：</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公务招聘</w:t>
      </w:r>
      <w:r>
        <w:rPr>
          <w:rFonts w:hint="eastAsia" w:asciiTheme="majorEastAsia" w:hAnsiTheme="majorEastAsia" w:eastAsiaTheme="majorEastAsia" w:cstheme="majorEastAsia"/>
          <w:color w:val="000000" w:themeColor="text1"/>
          <w:sz w:val="28"/>
          <w:szCs w:val="28"/>
          <w14:textFill>
            <w14:solidFill>
              <w14:schemeClr w14:val="tx1"/>
            </w14:solidFill>
          </w14:textFill>
        </w:rPr>
        <w:t>支出</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20</w:t>
      </w:r>
      <w:r>
        <w:rPr>
          <w:rFonts w:hint="eastAsia" w:asciiTheme="majorEastAsia" w:hAnsiTheme="majorEastAsia" w:eastAsiaTheme="majorEastAsia" w:cstheme="majorEastAsia"/>
          <w:color w:val="000000" w:themeColor="text1"/>
          <w:sz w:val="28"/>
          <w:szCs w:val="28"/>
          <w14:textFill>
            <w14:solidFill>
              <w14:schemeClr w14:val="tx1"/>
            </w14:solidFill>
          </w14:textFill>
        </w:rPr>
        <w:t>万元，主要用于</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公务招聘</w:t>
      </w:r>
      <w:r>
        <w:rPr>
          <w:rFonts w:hint="eastAsia" w:asciiTheme="majorEastAsia" w:hAnsiTheme="majorEastAsia" w:eastAsiaTheme="majorEastAsia" w:cstheme="majorEastAsia"/>
          <w:color w:val="000000" w:themeColor="text1"/>
          <w:sz w:val="28"/>
          <w:szCs w:val="28"/>
          <w14:textFill>
            <w14:solidFill>
              <w14:schemeClr w14:val="tx1"/>
            </w14:solidFill>
          </w14:textFill>
        </w:rPr>
        <w:t>等方面；</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绩效考核工作经费</w:t>
      </w:r>
      <w:r>
        <w:rPr>
          <w:rFonts w:hint="eastAsia" w:asciiTheme="majorEastAsia" w:hAnsiTheme="majorEastAsia" w:eastAsiaTheme="majorEastAsia" w:cstheme="majorEastAsia"/>
          <w:color w:val="000000" w:themeColor="text1"/>
          <w:sz w:val="28"/>
          <w:szCs w:val="28"/>
          <w14:textFill>
            <w14:solidFill>
              <w14:schemeClr w14:val="tx1"/>
            </w14:solidFill>
          </w14:textFill>
        </w:rPr>
        <w:t>支出</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10</w:t>
      </w:r>
      <w:r>
        <w:rPr>
          <w:rFonts w:hint="eastAsia" w:asciiTheme="majorEastAsia" w:hAnsiTheme="majorEastAsia" w:eastAsiaTheme="majorEastAsia" w:cstheme="majorEastAsia"/>
          <w:color w:val="000000" w:themeColor="text1"/>
          <w:sz w:val="28"/>
          <w:szCs w:val="28"/>
          <w14:textFill>
            <w14:solidFill>
              <w14:schemeClr w14:val="tx1"/>
            </w14:solidFill>
          </w14:textFill>
        </w:rPr>
        <w:t>万元，主要用于</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绩效考核工作</w:t>
      </w:r>
      <w:r>
        <w:rPr>
          <w:rFonts w:hint="eastAsia" w:asciiTheme="majorEastAsia" w:hAnsiTheme="majorEastAsia" w:eastAsiaTheme="majorEastAsia" w:cstheme="majorEastAsia"/>
          <w:color w:val="000000" w:themeColor="text1"/>
          <w:sz w:val="28"/>
          <w:szCs w:val="28"/>
          <w14:textFill>
            <w14:solidFill>
              <w14:schemeClr w14:val="tx1"/>
            </w14:solidFill>
          </w14:textFill>
        </w:rPr>
        <w:t>等方面；</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人员档案管理</w:t>
      </w:r>
      <w:r>
        <w:rPr>
          <w:rFonts w:hint="eastAsia" w:asciiTheme="majorEastAsia" w:hAnsiTheme="majorEastAsia" w:eastAsiaTheme="majorEastAsia" w:cstheme="majorEastAsia"/>
          <w:color w:val="000000" w:themeColor="text1"/>
          <w:sz w:val="28"/>
          <w:szCs w:val="28"/>
          <w14:textFill>
            <w14:solidFill>
              <w14:schemeClr w14:val="tx1"/>
            </w14:solidFill>
          </w14:textFill>
        </w:rPr>
        <w:t>支出</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8"/>
          <w:szCs w:val="28"/>
          <w14:textFill>
            <w14:solidFill>
              <w14:schemeClr w14:val="tx1"/>
            </w14:solidFill>
          </w14:textFill>
        </w:rPr>
        <w:t>万元，主要用于</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人员档案管理</w:t>
      </w:r>
      <w:r>
        <w:rPr>
          <w:rFonts w:hint="eastAsia" w:asciiTheme="majorEastAsia" w:hAnsiTheme="majorEastAsia" w:eastAsiaTheme="majorEastAsia" w:cstheme="majorEastAsia"/>
          <w:color w:val="000000" w:themeColor="text1"/>
          <w:sz w:val="28"/>
          <w:szCs w:val="28"/>
          <w14:textFill>
            <w14:solidFill>
              <w14:schemeClr w14:val="tx1"/>
            </w14:solidFill>
          </w14:textFill>
        </w:rPr>
        <w:t>等方面；</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工作经费（含劳动监察办公经费</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50万元</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支出</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120</w:t>
      </w:r>
      <w:r>
        <w:rPr>
          <w:rFonts w:hint="eastAsia" w:asciiTheme="majorEastAsia" w:hAnsiTheme="majorEastAsia" w:eastAsiaTheme="majorEastAsia" w:cstheme="majorEastAsia"/>
          <w:color w:val="000000" w:themeColor="text1"/>
          <w:sz w:val="28"/>
          <w:szCs w:val="28"/>
          <w14:textFill>
            <w14:solidFill>
              <w14:schemeClr w14:val="tx1"/>
            </w14:solidFill>
          </w14:textFill>
        </w:rPr>
        <w:t>万元，主要用于</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社会保险、劳动监察</w:t>
      </w:r>
      <w:r>
        <w:rPr>
          <w:rFonts w:hint="eastAsia" w:asciiTheme="majorEastAsia" w:hAnsiTheme="majorEastAsia" w:eastAsiaTheme="majorEastAsia" w:cstheme="majorEastAsia"/>
          <w:color w:val="000000" w:themeColor="text1"/>
          <w:sz w:val="28"/>
          <w:szCs w:val="28"/>
          <w14:textFill>
            <w14:solidFill>
              <w14:schemeClr w14:val="tx1"/>
            </w14:solidFill>
          </w14:textFill>
        </w:rPr>
        <w:t>等方面。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320" w:firstLineChars="100"/>
        <w:jc w:val="both"/>
        <w:rPr>
          <w:rFonts w:hint="eastAsia" w:ascii="宋体" w:hAnsi="宋体" w:eastAsia="宋体" w:cs="宋体"/>
          <w:color w:val="auto"/>
          <w:sz w:val="21"/>
          <w:szCs w:val="21"/>
        </w:rPr>
      </w:pPr>
      <w:r>
        <w:rPr>
          <w:rFonts w:hint="eastAsia" w:ascii="黑体" w:hAnsi="Times New Roman" w:eastAsia="黑体" w:cs="黑体"/>
          <w:i w:val="0"/>
          <w:caps w:val="0"/>
          <w:color w:val="auto"/>
          <w:spacing w:val="0"/>
          <w:kern w:val="0"/>
          <w:sz w:val="32"/>
          <w:szCs w:val="32"/>
          <w:shd w:val="clear" w:fill="FFFFFF"/>
          <w:lang w:val="en-US" w:eastAsia="zh-CN" w:bidi="ar"/>
        </w:rPr>
        <w:t>五、</w:t>
      </w:r>
      <w:r>
        <w:rPr>
          <w:rFonts w:hint="eastAsia" w:ascii="黑体" w:hAnsi="宋体" w:eastAsia="黑体" w:cs="黑体"/>
          <w:i w:val="0"/>
          <w:caps w:val="0"/>
          <w:color w:val="auto"/>
          <w:spacing w:val="0"/>
          <w:kern w:val="0"/>
          <w:sz w:val="32"/>
          <w:szCs w:val="32"/>
          <w:shd w:val="clear" w:fill="FFFFFF"/>
          <w:lang w:val="en-US" w:eastAsia="zh-CN" w:bidi="ar"/>
        </w:rPr>
        <w:t>机关运行及三公经费</w:t>
      </w:r>
      <w:r>
        <w:rPr>
          <w:rFonts w:hint="eastAsia" w:ascii="黑体" w:hAnsi="Times New Roman" w:eastAsia="黑体" w:cs="黑体"/>
          <w:i w:val="0"/>
          <w:caps w:val="0"/>
          <w:color w:val="auto"/>
          <w:spacing w:val="0"/>
          <w:kern w:val="0"/>
          <w:sz w:val="32"/>
          <w:szCs w:val="32"/>
          <w:shd w:val="clear" w:fill="FFFFFF"/>
          <w:lang w:val="en-US" w:eastAsia="zh-CN" w:bidi="ar"/>
        </w:rPr>
        <w:t>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560" w:firstLineChars="200"/>
        <w:jc w:val="both"/>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1、机关运行经费情况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560" w:firstLineChars="200"/>
        <w:jc w:val="both"/>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2020年局内设股室当年一般公共预算拨款 56.97万元，比2019年预算增加2.05万元，上升3.73%。原因主要是人员有所增加所需经费略有上升。、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560" w:firstLineChars="2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8"/>
          <w:szCs w:val="28"/>
          <w:shd w:val="clear" w:fill="FFFFFF"/>
          <w:lang w:val="en-US" w:eastAsia="zh-CN" w:bidi="ar"/>
        </w:rPr>
        <w:t>2、“三公”经费情况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560" w:firstLineChars="200"/>
        <w:jc w:val="both"/>
        <w:rPr>
          <w:rFonts w:hint="eastAsia" w:ascii="宋体" w:hAnsi="宋体" w:eastAsia="宋体" w:cs="宋体"/>
          <w:color w:val="auto"/>
          <w:sz w:val="28"/>
          <w:szCs w:val="28"/>
        </w:rPr>
      </w:pPr>
      <w:r>
        <w:rPr>
          <w:rFonts w:hint="eastAsia" w:ascii="宋体" w:hAnsi="宋体" w:eastAsia="宋体" w:cs="宋体"/>
          <w:i w:val="0"/>
          <w:caps w:val="0"/>
          <w:color w:val="auto"/>
          <w:spacing w:val="0"/>
          <w:kern w:val="0"/>
          <w:sz w:val="28"/>
          <w:szCs w:val="28"/>
          <w:shd w:val="clear" w:fill="FFFFFF"/>
          <w:lang w:val="en-US" w:eastAsia="zh-CN" w:bidi="ar"/>
        </w:rPr>
        <w:t>2020年“三公”经费预算数为0 万元，其中，公务接待费  0 万元，公务用车购置费 0万元，公务用车运行费0万元，因公出国（境）费 0 万元。2020年“三公”经费预算</w:t>
      </w:r>
      <w:r>
        <w:rPr>
          <w:rFonts w:hint="eastAsia" w:ascii="宋体" w:hAnsi="宋体" w:eastAsia="宋体" w:cs="宋体"/>
          <w:sz w:val="28"/>
          <w:szCs w:val="28"/>
        </w:rPr>
        <w:t>较上年减少</w:t>
      </w:r>
      <w:r>
        <w:rPr>
          <w:rFonts w:hint="eastAsia" w:ascii="宋体" w:hAnsi="宋体" w:eastAsia="宋体" w:cs="宋体"/>
          <w:sz w:val="28"/>
          <w:szCs w:val="28"/>
          <w:lang w:val="en-US" w:eastAsia="zh-CN"/>
        </w:rPr>
        <w:t>3.5</w:t>
      </w:r>
      <w:r>
        <w:rPr>
          <w:rFonts w:hint="eastAsia" w:ascii="宋体" w:hAnsi="宋体" w:eastAsia="宋体" w:cs="宋体"/>
          <w:sz w:val="28"/>
          <w:szCs w:val="28"/>
        </w:rPr>
        <w:t>万元，主要是</w:t>
      </w:r>
      <w:r>
        <w:rPr>
          <w:rFonts w:hint="eastAsia" w:ascii="宋体" w:hAnsi="宋体" w:eastAsia="宋体" w:cs="宋体"/>
          <w:sz w:val="28"/>
          <w:szCs w:val="28"/>
          <w:lang w:eastAsia="zh-CN"/>
        </w:rPr>
        <w:t>因为单位不得再单独设置公务用车，取消了公务用车经费</w:t>
      </w:r>
      <w:r>
        <w:rPr>
          <w:rFonts w:hint="eastAsia" w:ascii="宋体" w:hAnsi="宋体" w:eastAsia="宋体" w:cs="宋体"/>
          <w:i w:val="0"/>
          <w:caps w:val="0"/>
          <w:color w:val="auto"/>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jc w:val="both"/>
        <w:rPr>
          <w:rFonts w:hint="eastAsia" w:ascii="宋体" w:hAnsi="宋体" w:eastAsia="宋体" w:cs="宋体"/>
          <w:color w:val="auto"/>
          <w:sz w:val="21"/>
          <w:szCs w:val="21"/>
        </w:rPr>
      </w:pPr>
      <w:r>
        <w:rPr>
          <w:rFonts w:hint="eastAsia" w:ascii="黑体" w:hAnsi="宋体" w:eastAsia="黑体" w:cs="黑体"/>
          <w:i w:val="0"/>
          <w:caps w:val="0"/>
          <w:color w:val="auto"/>
          <w:spacing w:val="0"/>
          <w:kern w:val="0"/>
          <w:sz w:val="32"/>
          <w:szCs w:val="32"/>
          <w:shd w:val="clear" w:fill="FFFFFF"/>
          <w:lang w:val="en-US" w:eastAsia="zh-CN" w:bidi="ar"/>
        </w:rPr>
        <w:t>六</w:t>
      </w:r>
      <w:r>
        <w:rPr>
          <w:rFonts w:hint="eastAsia" w:ascii="黑体" w:hAnsi="Times New Roman" w:eastAsia="黑体" w:cs="黑体"/>
          <w:i w:val="0"/>
          <w:caps w:val="0"/>
          <w:color w:val="auto"/>
          <w:spacing w:val="0"/>
          <w:kern w:val="0"/>
          <w:sz w:val="32"/>
          <w:szCs w:val="32"/>
          <w:shd w:val="clear" w:fill="FFFFFF"/>
          <w:lang w:val="en-US" w:eastAsia="zh-CN" w:bidi="ar"/>
        </w:rPr>
        <w:t>、</w:t>
      </w:r>
      <w:r>
        <w:rPr>
          <w:rFonts w:hint="eastAsia" w:ascii="黑体" w:hAnsi="宋体" w:eastAsia="黑体" w:cs="黑体"/>
          <w:i w:val="0"/>
          <w:caps w:val="0"/>
          <w:color w:val="auto"/>
          <w:spacing w:val="0"/>
          <w:kern w:val="0"/>
          <w:sz w:val="32"/>
          <w:szCs w:val="32"/>
          <w:shd w:val="clear" w:fill="FFFFFF"/>
          <w:lang w:val="en-US" w:eastAsia="zh-CN" w:bidi="ar"/>
        </w:rPr>
        <w:t>国有资产及政府采购</w:t>
      </w:r>
      <w:r>
        <w:rPr>
          <w:rFonts w:hint="eastAsia" w:ascii="黑体" w:hAnsi="Times New Roman" w:eastAsia="黑体" w:cs="黑体"/>
          <w:i w:val="0"/>
          <w:caps w:val="0"/>
          <w:color w:val="auto"/>
          <w:spacing w:val="0"/>
          <w:kern w:val="0"/>
          <w:sz w:val="32"/>
          <w:szCs w:val="32"/>
          <w:shd w:val="clear" w:fill="FFFFFF"/>
          <w:lang w:val="en-US" w:eastAsia="zh-CN" w:bidi="ar"/>
        </w:rPr>
        <w:t>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280" w:firstLineChars="1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8"/>
          <w:szCs w:val="28"/>
          <w:shd w:val="clear" w:fill="FFFFFF"/>
          <w:lang w:val="en-US" w:eastAsia="zh-CN" w:bidi="ar"/>
        </w:rPr>
        <w:t>1、国有资产占用情况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560" w:firstLineChars="200"/>
        <w:jc w:val="both"/>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截至2019年12月31日，共有车辆</w:t>
      </w:r>
      <w:r>
        <w:rPr>
          <w:rFonts w:hint="default" w:ascii="宋体" w:hAnsi="宋体" w:eastAsia="宋体" w:cs="宋体"/>
          <w:i w:val="0"/>
          <w:caps w:val="0"/>
          <w:color w:val="auto"/>
          <w:spacing w:val="0"/>
          <w:kern w:val="0"/>
          <w:sz w:val="28"/>
          <w:szCs w:val="28"/>
          <w:shd w:val="clear" w:fill="FFFFFF"/>
          <w:lang w:val="en-US" w:eastAsia="zh-CN" w:bidi="ar"/>
        </w:rPr>
        <w:t>0</w:t>
      </w:r>
      <w:r>
        <w:rPr>
          <w:rFonts w:hint="eastAsia" w:ascii="宋体" w:hAnsi="宋体" w:eastAsia="宋体" w:cs="宋体"/>
          <w:i w:val="0"/>
          <w:caps w:val="0"/>
          <w:color w:val="auto"/>
          <w:spacing w:val="0"/>
          <w:kern w:val="0"/>
          <w:sz w:val="28"/>
          <w:szCs w:val="28"/>
          <w:shd w:val="clear" w:fill="FFFFFF"/>
          <w:lang w:val="en-US" w:eastAsia="zh-CN" w:bidi="ar"/>
        </w:rPr>
        <w:t>辆，其中，领导干部用车0辆，一般公务用车</w:t>
      </w:r>
      <w:r>
        <w:rPr>
          <w:rFonts w:hint="default" w:ascii="宋体" w:hAnsi="宋体" w:eastAsia="宋体" w:cs="宋体"/>
          <w:i w:val="0"/>
          <w:caps w:val="0"/>
          <w:color w:val="auto"/>
          <w:spacing w:val="0"/>
          <w:kern w:val="0"/>
          <w:sz w:val="28"/>
          <w:szCs w:val="28"/>
          <w:shd w:val="clear" w:fill="FFFFFF"/>
          <w:lang w:val="en-US" w:eastAsia="zh-CN" w:bidi="ar"/>
        </w:rPr>
        <w:t>0</w:t>
      </w:r>
      <w:r>
        <w:rPr>
          <w:rFonts w:hint="eastAsia" w:ascii="宋体" w:hAnsi="宋体" w:eastAsia="宋体" w:cs="宋体"/>
          <w:i w:val="0"/>
          <w:caps w:val="0"/>
          <w:color w:val="auto"/>
          <w:spacing w:val="0"/>
          <w:kern w:val="0"/>
          <w:sz w:val="28"/>
          <w:szCs w:val="28"/>
          <w:shd w:val="clear" w:fill="FFFFFF"/>
          <w:lang w:val="en-US" w:eastAsia="zh-CN" w:bidi="ar"/>
        </w:rPr>
        <w:t>辆，一般执法执勤用车 0 辆，特种专业技术用车 0 辆，其他用车 0 辆。单位价值50万元以上通用设备 0 台，价值100万元以上专用设备 0 台。  </w:t>
      </w:r>
    </w:p>
    <w:p>
      <w:pPr>
        <w:widowControl/>
        <w:spacing w:line="600" w:lineRule="exact"/>
        <w:ind w:firstLine="640" w:firstLineChars="200"/>
        <w:jc w:val="left"/>
        <w:rPr>
          <w:rFonts w:eastAsia="仿宋_GB2312"/>
          <w:color w:val="auto"/>
          <w:sz w:val="32"/>
          <w:szCs w:val="32"/>
        </w:rPr>
      </w:pPr>
      <w:r>
        <w:rPr>
          <w:rFonts w:hint="eastAsia" w:eastAsia="仿宋_GB2312"/>
          <w:color w:val="auto"/>
          <w:sz w:val="32"/>
          <w:szCs w:val="32"/>
          <w:lang w:val="en-US" w:eastAsia="zh-CN"/>
        </w:rPr>
        <w:t>2020</w:t>
      </w:r>
      <w:r>
        <w:rPr>
          <w:rFonts w:hint="eastAsia" w:eastAsia="仿宋_GB2312"/>
          <w:color w:val="auto"/>
          <w:sz w:val="32"/>
          <w:szCs w:val="32"/>
        </w:rPr>
        <w:t>年部门预算安排</w:t>
      </w:r>
      <w:r>
        <w:rPr>
          <w:rFonts w:hint="eastAsia" w:eastAsia="仿宋_GB2312"/>
          <w:b w:val="0"/>
          <w:bCs/>
          <w:color w:val="auto"/>
          <w:sz w:val="32"/>
          <w:szCs w:val="32"/>
        </w:rPr>
        <w:t>增加</w:t>
      </w:r>
      <w:r>
        <w:rPr>
          <w:rFonts w:hint="eastAsia" w:eastAsia="仿宋_GB2312"/>
          <w:color w:val="auto"/>
          <w:sz w:val="32"/>
          <w:szCs w:val="32"/>
        </w:rPr>
        <w:t>车辆</w:t>
      </w:r>
      <w:r>
        <w:rPr>
          <w:rFonts w:eastAsia="仿宋_GB2312"/>
          <w:color w:val="auto"/>
          <w:sz w:val="32"/>
          <w:szCs w:val="32"/>
        </w:rPr>
        <w:t xml:space="preserve"> </w:t>
      </w:r>
      <w:r>
        <w:rPr>
          <w:rFonts w:hint="eastAsia" w:eastAsia="仿宋_GB2312"/>
          <w:color w:val="auto"/>
          <w:sz w:val="32"/>
          <w:szCs w:val="32"/>
          <w:lang w:val="en-US" w:eastAsia="zh-CN"/>
        </w:rPr>
        <w:t>0</w:t>
      </w:r>
      <w:r>
        <w:rPr>
          <w:rFonts w:eastAsia="仿宋_GB2312"/>
          <w:color w:val="auto"/>
          <w:sz w:val="32"/>
          <w:szCs w:val="32"/>
        </w:rPr>
        <w:t xml:space="preserve"> </w:t>
      </w:r>
      <w:r>
        <w:rPr>
          <w:rFonts w:hint="eastAsia" w:eastAsia="仿宋_GB2312"/>
          <w:color w:val="auto"/>
          <w:sz w:val="32"/>
          <w:szCs w:val="32"/>
        </w:rPr>
        <w:t>台，预计购置单价</w:t>
      </w:r>
      <w:r>
        <w:rPr>
          <w:rFonts w:eastAsia="仿宋_GB2312"/>
          <w:color w:val="auto"/>
          <w:sz w:val="32"/>
          <w:szCs w:val="32"/>
        </w:rPr>
        <w:t>200</w:t>
      </w:r>
      <w:r>
        <w:rPr>
          <w:rFonts w:hint="eastAsia" w:eastAsia="仿宋_GB2312"/>
          <w:color w:val="auto"/>
          <w:sz w:val="32"/>
          <w:szCs w:val="32"/>
        </w:rPr>
        <w:t>万元以上大型设备价值</w:t>
      </w:r>
      <w:r>
        <w:rPr>
          <w:rFonts w:eastAsia="仿宋_GB2312"/>
          <w:color w:val="auto"/>
          <w:sz w:val="32"/>
          <w:szCs w:val="32"/>
        </w:rPr>
        <w:t xml:space="preserve"> </w:t>
      </w:r>
      <w:r>
        <w:rPr>
          <w:rFonts w:hint="eastAsia" w:eastAsia="仿宋_GB2312"/>
          <w:color w:val="auto"/>
          <w:sz w:val="32"/>
          <w:szCs w:val="32"/>
          <w:lang w:val="en-US" w:eastAsia="zh-CN"/>
        </w:rPr>
        <w:t>0</w:t>
      </w:r>
      <w:r>
        <w:rPr>
          <w:rFonts w:eastAsia="仿宋_GB2312"/>
          <w:color w:val="auto"/>
          <w:sz w:val="32"/>
          <w:szCs w:val="32"/>
        </w:rPr>
        <w:t xml:space="preserve"> </w:t>
      </w:r>
      <w:r>
        <w:rPr>
          <w:rFonts w:hint="eastAsia" w:eastAsia="仿宋_GB2312"/>
          <w:color w:val="auto"/>
          <w:sz w:val="32"/>
          <w:szCs w:val="32"/>
        </w:rPr>
        <w:t xml:space="preserve">台。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280" w:firstLineChars="1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8"/>
          <w:szCs w:val="28"/>
          <w:shd w:val="clear" w:fill="FFFFFF"/>
          <w:lang w:val="en-US" w:eastAsia="zh-CN" w:bidi="ar"/>
        </w:rPr>
        <w:t>2、政府采购安排情况</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rPr>
          <w:color w:val="auto"/>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0" w:lineRule="atLeast"/>
        <w:ind w:left="0" w:right="0" w:firstLine="640"/>
        <w:jc w:val="left"/>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8"/>
          <w:szCs w:val="28"/>
          <w:shd w:val="clear" w:fill="FFFFFF"/>
          <w:lang w:val="en-US" w:eastAsia="zh-CN" w:bidi="ar"/>
        </w:rPr>
        <w:t>2020</w:t>
      </w:r>
      <w:r>
        <w:rPr>
          <w:rFonts w:hint="eastAsia" w:ascii="仿宋_GB2312" w:hAnsi="Calibri" w:eastAsia="仿宋_GB2312" w:cs="仿宋_GB2312"/>
          <w:i w:val="0"/>
          <w:caps w:val="0"/>
          <w:color w:val="auto"/>
          <w:spacing w:val="0"/>
          <w:kern w:val="0"/>
          <w:sz w:val="32"/>
          <w:szCs w:val="32"/>
          <w:shd w:val="clear" w:fill="FFFFFF"/>
          <w:lang w:val="en-US" w:eastAsia="zh-CN" w:bidi="ar"/>
        </w:rPr>
        <w:t>年</w:t>
      </w:r>
      <w:r>
        <w:rPr>
          <w:rFonts w:hint="eastAsia" w:eastAsia="仿宋_GB2312"/>
          <w:color w:val="auto"/>
          <w:sz w:val="32"/>
          <w:szCs w:val="32"/>
        </w:rPr>
        <w:t xml:space="preserve">部门单位政府采购预算数额 </w:t>
      </w:r>
      <w:r>
        <w:rPr>
          <w:rFonts w:hint="eastAsia" w:eastAsia="仿宋_GB2312"/>
          <w:color w:val="auto"/>
          <w:sz w:val="32"/>
          <w:szCs w:val="32"/>
          <w:lang w:val="en-US" w:eastAsia="zh-CN"/>
        </w:rPr>
        <w:t>0</w:t>
      </w:r>
      <w:r>
        <w:rPr>
          <w:rFonts w:hint="eastAsia" w:eastAsia="仿宋_GB2312"/>
          <w:color w:val="auto"/>
          <w:sz w:val="32"/>
          <w:szCs w:val="32"/>
        </w:rPr>
        <w:t>万元，其中：政府采购货物预算</w:t>
      </w:r>
      <w:r>
        <w:rPr>
          <w:rFonts w:eastAsia="仿宋_GB2312"/>
          <w:color w:val="auto"/>
          <w:sz w:val="32"/>
          <w:szCs w:val="32"/>
        </w:rPr>
        <w:t xml:space="preserve">  </w:t>
      </w:r>
      <w:r>
        <w:rPr>
          <w:rFonts w:hint="eastAsia" w:eastAsia="仿宋_GB2312"/>
          <w:color w:val="auto"/>
          <w:sz w:val="32"/>
          <w:szCs w:val="32"/>
          <w:lang w:val="en-US" w:eastAsia="zh-CN"/>
        </w:rPr>
        <w:t>0</w:t>
      </w:r>
      <w:r>
        <w:rPr>
          <w:rFonts w:eastAsia="仿宋_GB2312"/>
          <w:color w:val="auto"/>
          <w:sz w:val="32"/>
          <w:szCs w:val="32"/>
        </w:rPr>
        <w:t xml:space="preserve"> </w:t>
      </w:r>
      <w:r>
        <w:rPr>
          <w:rFonts w:hint="eastAsia" w:eastAsia="仿宋_GB2312"/>
          <w:color w:val="auto"/>
          <w:sz w:val="32"/>
          <w:szCs w:val="32"/>
        </w:rPr>
        <w:t>万元、政府采购工程预算</w:t>
      </w:r>
      <w:r>
        <w:rPr>
          <w:rFonts w:eastAsia="仿宋_GB2312"/>
          <w:color w:val="auto"/>
          <w:sz w:val="32"/>
          <w:szCs w:val="32"/>
        </w:rPr>
        <w:t xml:space="preserve">   </w:t>
      </w:r>
      <w:r>
        <w:rPr>
          <w:rFonts w:hint="eastAsia" w:eastAsia="仿宋_GB2312"/>
          <w:color w:val="auto"/>
          <w:sz w:val="32"/>
          <w:szCs w:val="32"/>
          <w:lang w:val="en-US" w:eastAsia="zh-CN"/>
        </w:rPr>
        <w:t>0</w:t>
      </w:r>
      <w:r>
        <w:rPr>
          <w:rFonts w:eastAsia="仿宋_GB2312"/>
          <w:color w:val="auto"/>
          <w:sz w:val="32"/>
          <w:szCs w:val="32"/>
        </w:rPr>
        <w:t xml:space="preserve"> </w:t>
      </w:r>
      <w:r>
        <w:rPr>
          <w:rFonts w:hint="eastAsia" w:eastAsia="仿宋_GB2312"/>
          <w:color w:val="auto"/>
          <w:sz w:val="32"/>
          <w:szCs w:val="32"/>
        </w:rPr>
        <w:t>万元、政府采购服务预算</w:t>
      </w:r>
      <w:r>
        <w:rPr>
          <w:rFonts w:eastAsia="仿宋_GB2312"/>
          <w:color w:val="auto"/>
          <w:sz w:val="32"/>
          <w:szCs w:val="32"/>
        </w:rPr>
        <w:t xml:space="preserve">  </w:t>
      </w:r>
      <w:r>
        <w:rPr>
          <w:rFonts w:hint="eastAsia" w:eastAsia="仿宋_GB2312"/>
          <w:color w:val="auto"/>
          <w:sz w:val="32"/>
          <w:szCs w:val="32"/>
          <w:lang w:val="en-US" w:eastAsia="zh-CN"/>
        </w:rPr>
        <w:t>0</w:t>
      </w:r>
      <w:r>
        <w:rPr>
          <w:rFonts w:eastAsia="仿宋_GB2312"/>
          <w:color w:val="auto"/>
          <w:sz w:val="32"/>
          <w:szCs w:val="32"/>
        </w:rPr>
        <w:t xml:space="preserve">  </w:t>
      </w:r>
      <w:r>
        <w:rPr>
          <w:rFonts w:hint="eastAsia" w:eastAsia="仿宋_GB2312"/>
          <w:color w:val="auto"/>
          <w:sz w:val="32"/>
          <w:szCs w:val="32"/>
        </w:rPr>
        <w:t>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320" w:firstLineChars="100"/>
        <w:jc w:val="both"/>
        <w:rPr>
          <w:rFonts w:hint="eastAsia" w:ascii="宋体" w:hAnsi="宋体" w:eastAsia="宋体" w:cs="宋体"/>
          <w:color w:val="auto"/>
          <w:sz w:val="21"/>
          <w:szCs w:val="21"/>
        </w:rPr>
      </w:pPr>
      <w:r>
        <w:rPr>
          <w:rFonts w:hint="eastAsia" w:ascii="黑体" w:hAnsi="宋体" w:eastAsia="黑体" w:cs="黑体"/>
          <w:i w:val="0"/>
          <w:caps w:val="0"/>
          <w:color w:val="auto"/>
          <w:spacing w:val="0"/>
          <w:kern w:val="0"/>
          <w:sz w:val="32"/>
          <w:szCs w:val="32"/>
          <w:shd w:val="clear" w:fill="FFFFFF"/>
          <w:lang w:val="en-US" w:eastAsia="zh-CN" w:bidi="ar"/>
        </w:rPr>
        <w:t>七、预算绩效情况及其他重要事项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560" w:firstLineChars="2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8"/>
          <w:szCs w:val="28"/>
          <w:shd w:val="clear" w:fill="FFFFFF"/>
          <w:lang w:val="en-US" w:eastAsia="zh-CN" w:bidi="ar"/>
        </w:rPr>
        <w:t>1、重点项目预算的绩效目标等预算绩效情况说明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640" w:firstLineChars="200"/>
        <w:jc w:val="both"/>
        <w:rPr>
          <w:rFonts w:hint="eastAsia" w:ascii="宋体" w:hAnsi="宋体" w:eastAsia="宋体" w:cs="宋体"/>
          <w:color w:val="auto"/>
          <w:sz w:val="21"/>
          <w:szCs w:val="21"/>
        </w:rPr>
      </w:pPr>
      <w:r>
        <w:rPr>
          <w:rFonts w:hint="eastAsia" w:eastAsia="仿宋_GB2312"/>
          <w:color w:val="auto"/>
          <w:sz w:val="32"/>
          <w:szCs w:val="32"/>
        </w:rPr>
        <w:t>本</w:t>
      </w:r>
      <w:r>
        <w:rPr>
          <w:rFonts w:hint="eastAsia" w:eastAsia="仿宋_GB2312"/>
          <w:color w:val="auto"/>
          <w:sz w:val="32"/>
          <w:szCs w:val="32"/>
          <w:lang w:eastAsia="zh-CN"/>
        </w:rPr>
        <w:t>单位</w:t>
      </w:r>
      <w:r>
        <w:rPr>
          <w:rFonts w:hint="eastAsia" w:eastAsia="仿宋_GB2312"/>
          <w:color w:val="auto"/>
          <w:sz w:val="32"/>
          <w:szCs w:val="32"/>
        </w:rPr>
        <w:t>整体支出和项目支出实行绩效目标管理，纳入</w:t>
      </w:r>
      <w:r>
        <w:rPr>
          <w:rFonts w:hint="eastAsia" w:eastAsia="仿宋_GB2312"/>
          <w:color w:val="auto"/>
          <w:sz w:val="32"/>
          <w:szCs w:val="32"/>
          <w:lang w:val="en-US" w:eastAsia="zh-CN"/>
        </w:rPr>
        <w:t>2020</w:t>
      </w:r>
      <w:r>
        <w:rPr>
          <w:rFonts w:hint="eastAsia" w:eastAsia="仿宋_GB2312"/>
          <w:color w:val="auto"/>
          <w:sz w:val="32"/>
          <w:szCs w:val="32"/>
        </w:rPr>
        <w:t>年部门整体支出绩效目标的金额为</w:t>
      </w:r>
      <w:r>
        <w:rPr>
          <w:rFonts w:hint="eastAsia" w:ascii="宋体" w:hAnsi="宋体" w:eastAsia="宋体" w:cs="宋体"/>
          <w:i w:val="0"/>
          <w:caps w:val="0"/>
          <w:color w:val="auto"/>
          <w:spacing w:val="0"/>
          <w:kern w:val="0"/>
          <w:sz w:val="32"/>
          <w:szCs w:val="32"/>
          <w:shd w:val="clear" w:fill="FFFFFF"/>
          <w:lang w:val="en-US" w:eastAsia="zh-CN" w:bidi="ar"/>
        </w:rPr>
        <w:t>662.82</w:t>
      </w:r>
      <w:r>
        <w:rPr>
          <w:rFonts w:hint="eastAsia" w:eastAsia="仿宋_GB2312"/>
          <w:color w:val="auto"/>
          <w:sz w:val="32"/>
          <w:szCs w:val="32"/>
        </w:rPr>
        <w:t>万元，其中：</w:t>
      </w:r>
      <w:r>
        <w:rPr>
          <w:rFonts w:hint="eastAsia" w:eastAsia="仿宋_GB2312"/>
          <w:color w:val="000000" w:themeColor="text1"/>
          <w:sz w:val="32"/>
          <w:szCs w:val="32"/>
          <w14:textFill>
            <w14:solidFill>
              <w14:schemeClr w14:val="tx1"/>
            </w14:solidFill>
          </w14:textFill>
        </w:rPr>
        <w:t>基本支出</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510.82</w:t>
      </w:r>
      <w:r>
        <w:rPr>
          <w:rFonts w:hint="eastAsia" w:eastAsia="仿宋_GB2312"/>
          <w:color w:val="000000" w:themeColor="text1"/>
          <w:sz w:val="32"/>
          <w:szCs w:val="32"/>
          <w14:textFill>
            <w14:solidFill>
              <w14:schemeClr w14:val="tx1"/>
            </w14:solidFill>
          </w14:textFill>
        </w:rPr>
        <w:t>万元，项目支出</w:t>
      </w:r>
      <w:r>
        <w:rPr>
          <w:rFonts w:hint="eastAsia" w:eastAsia="仿宋_GB2312"/>
          <w:color w:val="000000" w:themeColor="text1"/>
          <w:sz w:val="32"/>
          <w:szCs w:val="32"/>
          <w:lang w:val="en-US" w:eastAsia="zh-CN"/>
          <w14:textFill>
            <w14:solidFill>
              <w14:schemeClr w14:val="tx1"/>
            </w14:solidFill>
          </w14:textFill>
        </w:rPr>
        <w:t>152</w:t>
      </w:r>
      <w:r>
        <w:rPr>
          <w:rFonts w:hint="eastAsia"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w:t>
      </w:r>
      <w:r>
        <w:rPr>
          <w:rFonts w:hint="eastAsia" w:ascii="宋体" w:hAnsi="宋体" w:eastAsia="宋体" w:cs="宋体"/>
          <w:i w:val="0"/>
          <w:caps w:val="0"/>
          <w:color w:val="000000" w:themeColor="text1"/>
          <w:spacing w:val="0"/>
          <w:kern w:val="0"/>
          <w:sz w:val="28"/>
          <w:szCs w:val="28"/>
          <w:shd w:val="clear" w:fill="FFFFFF"/>
          <w:lang w:val="en-US" w:eastAsia="zh-CN" w:bidi="ar"/>
          <w14:textFill>
            <w14:solidFill>
              <w14:schemeClr w14:val="tx1"/>
            </w14:solidFill>
          </w14:textFill>
        </w:rPr>
        <w:t>本单位实行部门预算绩效目标管理的项目共4个</w:t>
      </w:r>
      <w:r>
        <w:rPr>
          <w:rFonts w:hint="eastAsia" w:ascii="宋体" w:hAnsi="宋体" w:eastAsia="宋体" w:cs="宋体"/>
          <w:i w:val="0"/>
          <w:caps w:val="0"/>
          <w:color w:val="auto"/>
          <w:spacing w:val="0"/>
          <w:kern w:val="0"/>
          <w:sz w:val="28"/>
          <w:szCs w:val="28"/>
          <w:shd w:val="clear" w:fill="FFFFFF"/>
          <w:lang w:val="en-US" w:eastAsia="zh-CN" w:bidi="ar"/>
        </w:rPr>
        <w:t>，涉及一般公共预算拨152万元，主要绩效目标是：保证公务招聘、绩效考核、</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乡镇人员分流、劳动监察、社会保障、人力资源管理</w:t>
      </w:r>
      <w:r>
        <w:rPr>
          <w:rFonts w:hint="eastAsia" w:ascii="宋体" w:hAnsi="宋体" w:eastAsia="宋体" w:cs="宋体"/>
          <w:i w:val="0"/>
          <w:caps w:val="0"/>
          <w:color w:val="auto"/>
          <w:spacing w:val="0"/>
          <w:kern w:val="0"/>
          <w:sz w:val="28"/>
          <w:szCs w:val="28"/>
          <w:shd w:val="clear" w:fill="FFFFFF"/>
          <w:lang w:val="en-US" w:eastAsia="zh-CN" w:bidi="ar"/>
        </w:rPr>
        <w:t>等工作的正常运行。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560" w:firstLineChars="2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8"/>
          <w:szCs w:val="28"/>
          <w:shd w:val="clear" w:fill="FFFFFF"/>
          <w:lang w:val="en-US" w:eastAsia="zh-CN" w:bidi="ar"/>
        </w:rPr>
        <w:t>2、其他重要事项说明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firstLine="560" w:firstLineChars="200"/>
        <w:jc w:val="both"/>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8"/>
          <w:szCs w:val="28"/>
          <w:shd w:val="clear" w:fill="FFFFFF"/>
          <w:lang w:val="en-US" w:eastAsia="zh-CN" w:bidi="ar"/>
        </w:rPr>
        <w:t>本单位无其他重要事项。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jc w:val="both"/>
        <w:rPr>
          <w:rFonts w:hint="eastAsia" w:ascii="宋体" w:hAnsi="宋体" w:eastAsia="宋体" w:cs="宋体"/>
          <w:color w:val="auto"/>
          <w:sz w:val="21"/>
          <w:szCs w:val="21"/>
        </w:rPr>
      </w:pPr>
      <w:r>
        <w:rPr>
          <w:rFonts w:hint="eastAsia" w:ascii="黑体" w:hAnsi="宋体" w:eastAsia="黑体" w:cs="黑体"/>
          <w:i w:val="0"/>
          <w:caps w:val="0"/>
          <w:color w:val="auto"/>
          <w:spacing w:val="0"/>
          <w:kern w:val="0"/>
          <w:sz w:val="32"/>
          <w:szCs w:val="32"/>
          <w:shd w:val="clear" w:fill="FFFFFF"/>
          <w:lang w:val="en-US" w:eastAsia="zh-CN" w:bidi="ar"/>
        </w:rPr>
        <w:t>八、名词解释</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rPr>
          <w:color w:val="auto"/>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left="0" w:right="0" w:firstLine="660"/>
        <w:jc w:val="both"/>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8"/>
          <w:szCs w:val="28"/>
          <w:shd w:val="clear" w:fill="FFFFFF"/>
          <w:lang w:val="en-US" w:eastAsia="zh-CN" w:bidi="ar"/>
        </w:rPr>
        <w:t>1、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rPr>
          <w:color w:val="auto"/>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left="0" w:right="0" w:firstLine="660"/>
        <w:jc w:val="both"/>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8"/>
          <w:szCs w:val="28"/>
          <w:shd w:val="clear" w:fill="FFFFFF"/>
          <w:lang w:val="en-US" w:eastAsia="zh-CN" w:bidi="ar"/>
        </w:rPr>
        <w:t>2、“三公”经费：纳入区级财政预算管理的“三公“经费，是指用一般公共预算拨款（经费拨款和纳入一般公共预算管理的非税收入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rPr>
          <w:b/>
          <w:bCs/>
          <w:color w:val="575555"/>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right="0"/>
        <w:jc w:val="both"/>
        <w:rPr>
          <w:rFonts w:hint="eastAsia" w:ascii="宋体" w:hAnsi="宋体" w:eastAsia="宋体" w:cs="宋体"/>
          <w:b/>
          <w:bCs/>
          <w:color w:val="666666"/>
          <w:sz w:val="21"/>
          <w:szCs w:val="21"/>
        </w:rPr>
      </w:pPr>
      <w:r>
        <w:rPr>
          <w:rFonts w:hint="default" w:ascii="方正小标宋简体" w:hAnsi="方正小标宋简体" w:eastAsia="方正小标宋简体" w:cs="方正小标宋简体"/>
          <w:b/>
          <w:bCs/>
          <w:i w:val="0"/>
          <w:caps w:val="0"/>
          <w:color w:val="666666"/>
          <w:spacing w:val="0"/>
          <w:kern w:val="0"/>
          <w:sz w:val="36"/>
          <w:szCs w:val="36"/>
          <w:shd w:val="clear" w:fill="FFFFFF"/>
          <w:lang w:val="en-US" w:eastAsia="zh-CN" w:bidi="ar"/>
        </w:rPr>
        <w:t>第二部分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rPr>
          <w:b/>
          <w:bCs/>
          <w:color w:val="575555"/>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315" w:lineRule="atLeast"/>
        <w:ind w:left="0" w:right="0" w:firstLine="420"/>
        <w:jc w:val="center"/>
        <w:rPr>
          <w:rFonts w:hint="eastAsia" w:ascii="宋体" w:hAnsi="宋体" w:eastAsia="宋体" w:cs="宋体"/>
          <w:b/>
          <w:bCs/>
          <w:color w:val="666666"/>
          <w:sz w:val="21"/>
          <w:szCs w:val="21"/>
        </w:rPr>
      </w:pPr>
      <w:r>
        <w:rPr>
          <w:rFonts w:hint="default" w:ascii="方正小标宋简体" w:hAnsi="方正小标宋简体" w:eastAsia="方正小标宋简体" w:cs="方正小标宋简体"/>
          <w:b/>
          <w:bCs/>
          <w:i w:val="0"/>
          <w:caps w:val="0"/>
          <w:color w:val="666666"/>
          <w:spacing w:val="0"/>
          <w:kern w:val="0"/>
          <w:sz w:val="36"/>
          <w:szCs w:val="36"/>
          <w:shd w:val="clear" w:fill="FFFFFF"/>
          <w:lang w:val="en-US" w:eastAsia="zh-CN" w:bidi="ar"/>
        </w:rPr>
        <w:t>部门预算需公开的表格情况（见附表）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rPr>
          <w:b/>
          <w:bCs/>
          <w:color w:val="575555"/>
          <w:sz w:val="21"/>
          <w:szCs w:val="21"/>
        </w:rPr>
      </w:pPr>
    </w:p>
    <w:p>
      <w:pPr>
        <w:widowControl/>
        <w:spacing w:line="600" w:lineRule="exact"/>
        <w:jc w:val="left"/>
        <w:rPr>
          <w:rFonts w:eastAsia="仿宋_GB2312"/>
          <w:color w:val="000000"/>
          <w:sz w:val="32"/>
          <w:szCs w:val="32"/>
          <w:highlight w:val="none"/>
        </w:rPr>
      </w:pPr>
      <w:r>
        <w:rPr>
          <w:rFonts w:eastAsia="仿宋_GB2312"/>
          <w:color w:val="000000"/>
          <w:sz w:val="32"/>
          <w:szCs w:val="32"/>
          <w:highlight w:val="none"/>
        </w:rPr>
        <w:t>1、收支预算总表</w:t>
      </w:r>
    </w:p>
    <w:p>
      <w:pPr>
        <w:widowControl/>
        <w:spacing w:line="600" w:lineRule="exact"/>
        <w:jc w:val="left"/>
        <w:rPr>
          <w:rFonts w:eastAsia="仿宋_GB2312"/>
          <w:color w:val="000000"/>
          <w:sz w:val="32"/>
          <w:szCs w:val="32"/>
          <w:highlight w:val="none"/>
        </w:rPr>
      </w:pPr>
      <w:r>
        <w:rPr>
          <w:rFonts w:eastAsia="仿宋_GB2312"/>
          <w:color w:val="000000"/>
          <w:sz w:val="32"/>
          <w:szCs w:val="32"/>
          <w:highlight w:val="none"/>
        </w:rPr>
        <w:t>2、收入预算总表</w:t>
      </w:r>
    </w:p>
    <w:p>
      <w:pPr>
        <w:widowControl/>
        <w:spacing w:line="600" w:lineRule="exact"/>
        <w:jc w:val="left"/>
        <w:rPr>
          <w:rFonts w:eastAsia="仿宋_GB2312"/>
          <w:color w:val="000000"/>
          <w:sz w:val="32"/>
          <w:szCs w:val="32"/>
          <w:highlight w:val="none"/>
        </w:rPr>
      </w:pPr>
      <w:r>
        <w:rPr>
          <w:rFonts w:eastAsia="仿宋_GB2312"/>
          <w:color w:val="000000"/>
          <w:sz w:val="32"/>
          <w:szCs w:val="32"/>
          <w:highlight w:val="none"/>
        </w:rPr>
        <w:t>3、支出预算总表</w:t>
      </w:r>
    </w:p>
    <w:p>
      <w:pPr>
        <w:widowControl/>
        <w:spacing w:line="600" w:lineRule="exact"/>
        <w:jc w:val="left"/>
        <w:rPr>
          <w:rFonts w:hint="eastAsia" w:eastAsia="仿宋_GB2312"/>
          <w:color w:val="000000"/>
          <w:sz w:val="32"/>
          <w:szCs w:val="32"/>
          <w:highlight w:val="none"/>
        </w:rPr>
      </w:pPr>
      <w:r>
        <w:rPr>
          <w:rFonts w:eastAsia="仿宋_GB2312"/>
          <w:color w:val="000000"/>
          <w:sz w:val="32"/>
          <w:szCs w:val="32"/>
          <w:highlight w:val="none"/>
        </w:rPr>
        <w:t>4</w:t>
      </w:r>
      <w:r>
        <w:rPr>
          <w:rFonts w:hint="eastAsia" w:eastAsia="仿宋_GB2312"/>
          <w:color w:val="000000"/>
          <w:sz w:val="32"/>
          <w:szCs w:val="32"/>
          <w:highlight w:val="none"/>
        </w:rPr>
        <w:t>、支出预算分类汇总表（按部门预算经济分类）</w:t>
      </w:r>
    </w:p>
    <w:p>
      <w:pPr>
        <w:widowControl/>
        <w:numPr>
          <w:ilvl w:val="0"/>
          <w:numId w:val="3"/>
        </w:numPr>
        <w:spacing w:line="600" w:lineRule="exact"/>
        <w:jc w:val="left"/>
        <w:rPr>
          <w:rFonts w:hint="eastAsia" w:eastAsia="仿宋_GB2312"/>
          <w:color w:val="000000"/>
          <w:sz w:val="32"/>
          <w:szCs w:val="32"/>
          <w:highlight w:val="none"/>
        </w:rPr>
      </w:pPr>
      <w:r>
        <w:rPr>
          <w:rFonts w:hint="eastAsia" w:eastAsia="仿宋_GB2312"/>
          <w:color w:val="000000"/>
          <w:sz w:val="32"/>
          <w:szCs w:val="32"/>
          <w:highlight w:val="none"/>
        </w:rPr>
        <w:t>支出预算分类汇总表（按政府预算经济分类）</w:t>
      </w:r>
    </w:p>
    <w:p>
      <w:pPr>
        <w:widowControl/>
        <w:spacing w:line="600" w:lineRule="exact"/>
        <w:jc w:val="left"/>
        <w:rPr>
          <w:rFonts w:eastAsia="仿宋_GB2312"/>
          <w:color w:val="000000"/>
          <w:sz w:val="32"/>
          <w:szCs w:val="32"/>
          <w:highlight w:val="none"/>
        </w:rPr>
      </w:pPr>
      <w:r>
        <w:rPr>
          <w:rFonts w:hint="eastAsia" w:eastAsia="仿宋_GB2312"/>
          <w:color w:val="000000"/>
          <w:sz w:val="32"/>
          <w:szCs w:val="32"/>
          <w:highlight w:val="none"/>
        </w:rPr>
        <w:t>6、</w:t>
      </w:r>
      <w:r>
        <w:rPr>
          <w:rFonts w:eastAsia="仿宋_GB2312"/>
          <w:color w:val="000000"/>
          <w:sz w:val="32"/>
          <w:szCs w:val="32"/>
          <w:highlight w:val="none"/>
        </w:rPr>
        <w:t>财政拨款收支</w:t>
      </w:r>
      <w:r>
        <w:rPr>
          <w:rFonts w:hint="eastAsia" w:eastAsia="仿宋_GB2312"/>
          <w:color w:val="000000"/>
          <w:sz w:val="32"/>
          <w:szCs w:val="32"/>
          <w:highlight w:val="none"/>
        </w:rPr>
        <w:t>预算</w:t>
      </w:r>
      <w:r>
        <w:rPr>
          <w:rFonts w:eastAsia="仿宋_GB2312"/>
          <w:color w:val="000000"/>
          <w:sz w:val="32"/>
          <w:szCs w:val="32"/>
          <w:highlight w:val="none"/>
        </w:rPr>
        <w:t>表</w:t>
      </w:r>
    </w:p>
    <w:p>
      <w:pPr>
        <w:widowControl/>
        <w:spacing w:line="600" w:lineRule="exact"/>
        <w:jc w:val="left"/>
        <w:rPr>
          <w:rFonts w:hint="eastAsia" w:eastAsia="仿宋_GB2312"/>
          <w:color w:val="000000"/>
          <w:sz w:val="32"/>
          <w:szCs w:val="32"/>
          <w:highlight w:val="none"/>
        </w:rPr>
      </w:pPr>
      <w:r>
        <w:rPr>
          <w:rFonts w:hint="eastAsia" w:eastAsia="仿宋_GB2312"/>
          <w:color w:val="000000"/>
          <w:sz w:val="32"/>
          <w:szCs w:val="32"/>
          <w:highlight w:val="none"/>
        </w:rPr>
        <w:t>7、一般公共预算支出预算分类汇总表（按部门预算经济分类）</w:t>
      </w:r>
    </w:p>
    <w:p>
      <w:pPr>
        <w:widowControl/>
        <w:spacing w:line="600" w:lineRule="exact"/>
        <w:jc w:val="left"/>
        <w:rPr>
          <w:rFonts w:eastAsia="仿宋_GB2312"/>
          <w:color w:val="000000"/>
          <w:sz w:val="32"/>
          <w:szCs w:val="32"/>
          <w:highlight w:val="none"/>
        </w:rPr>
      </w:pPr>
      <w:r>
        <w:rPr>
          <w:rFonts w:hint="eastAsia" w:eastAsia="仿宋_GB2312"/>
          <w:color w:val="000000"/>
          <w:sz w:val="32"/>
          <w:szCs w:val="32"/>
          <w:highlight w:val="none"/>
        </w:rPr>
        <w:t>8、一般公共预算支出预算分类汇总表（按政府预算经济分类）</w:t>
      </w:r>
    </w:p>
    <w:p>
      <w:pPr>
        <w:widowControl/>
        <w:spacing w:line="600" w:lineRule="exact"/>
        <w:jc w:val="left"/>
        <w:rPr>
          <w:rFonts w:hint="eastAsia" w:eastAsia="仿宋_GB2312"/>
          <w:color w:val="000000"/>
          <w:sz w:val="32"/>
          <w:szCs w:val="32"/>
          <w:highlight w:val="none"/>
        </w:rPr>
      </w:pPr>
      <w:r>
        <w:rPr>
          <w:rFonts w:hint="eastAsia" w:eastAsia="仿宋_GB2312"/>
          <w:color w:val="000000"/>
          <w:sz w:val="32"/>
          <w:szCs w:val="32"/>
          <w:highlight w:val="none"/>
        </w:rPr>
        <w:t>9、政府性基金拨款支出预算分类汇总表（按部门预算经济分类）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10、政府性基金拨款支出预算分类汇总表（按政府预算经济分类）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11、</w:t>
      </w:r>
      <w:r>
        <w:rPr>
          <w:rFonts w:hint="eastAsia" w:eastAsia="仿宋_GB2312"/>
          <w:color w:val="000000"/>
          <w:sz w:val="32"/>
          <w:szCs w:val="32"/>
          <w:highlight w:val="none"/>
        </w:rPr>
        <w:t>一般公共预算</w:t>
      </w:r>
      <w:r>
        <w:rPr>
          <w:rFonts w:hint="eastAsia" w:eastAsia="仿宋_GB2312"/>
          <w:color w:val="000000"/>
          <w:sz w:val="32"/>
          <w:szCs w:val="32"/>
          <w:highlight w:val="none"/>
          <w:lang w:eastAsia="zh-CN"/>
        </w:rPr>
        <w:t>基本支出表</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12、基本支出预算明细表-工资福利与对个人和家庭的补助（按部门预算经济分类）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13、基本支出预算明细表-工资福利与对个人和家庭的补助（按政府预算经济分类）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14、基本支出预算明细表-商品和服务支出（按部门预算经济分类）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15、基本支出预算明细表-商品和服务支出（按政府预算经济分类）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16、一般公共预算基本支出预算明细表-工资福利与对个人和家庭的补助（按部门预算经济分类）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17、一般公共预算基本支出预算明细表-工资福利与对个人和家庭的补助（按政府预算经济分类）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18、本支出预算明细表-商品和服务支出（按部门预算经济分类）</w:t>
      </w:r>
    </w:p>
    <w:p>
      <w:pPr>
        <w:widowControl/>
        <w:spacing w:line="600" w:lineRule="exact"/>
        <w:jc w:val="left"/>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19、一般公共预算基本支出预算明细表-商品和服务支出（按政府预算经济分类）</w:t>
      </w:r>
    </w:p>
    <w:p>
      <w:pPr>
        <w:widowControl/>
        <w:spacing w:line="600" w:lineRule="exact"/>
        <w:jc w:val="left"/>
        <w:rPr>
          <w:rFonts w:hint="eastAsia" w:eastAsia="仿宋_GB2312"/>
          <w:color w:val="000000"/>
          <w:sz w:val="32"/>
          <w:szCs w:val="32"/>
          <w:highlight w:val="yellow"/>
        </w:rPr>
      </w:pPr>
      <w:r>
        <w:rPr>
          <w:rFonts w:hint="eastAsia" w:eastAsia="仿宋_GB2312"/>
          <w:color w:val="000000"/>
          <w:sz w:val="32"/>
          <w:szCs w:val="32"/>
          <w:highlight w:val="none"/>
          <w:lang w:val="en-US" w:eastAsia="zh-CN"/>
        </w:rPr>
        <w:t>20、“三公”经费情况表-一般公共预算</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0E7811"/>
    <w:multiLevelType w:val="singleLevel"/>
    <w:tmpl w:val="8D0E7811"/>
    <w:lvl w:ilvl="0" w:tentative="0">
      <w:start w:val="5"/>
      <w:numFmt w:val="decimal"/>
      <w:suff w:val="nothing"/>
      <w:lvlText w:val="%1、"/>
      <w:lvlJc w:val="left"/>
    </w:lvl>
  </w:abstractNum>
  <w:abstractNum w:abstractNumId="1">
    <w:nsid w:val="9DEEB691"/>
    <w:multiLevelType w:val="singleLevel"/>
    <w:tmpl w:val="9DEEB691"/>
    <w:lvl w:ilvl="0" w:tentative="0">
      <w:start w:val="12"/>
      <w:numFmt w:val="chineseCounting"/>
      <w:suff w:val="nothing"/>
      <w:lvlText w:val="（%1）"/>
      <w:lvlJc w:val="left"/>
      <w:rPr>
        <w:rFonts w:hint="eastAsia"/>
      </w:rPr>
    </w:lvl>
  </w:abstractNum>
  <w:abstractNum w:abstractNumId="2">
    <w:nsid w:val="A45FB358"/>
    <w:multiLevelType w:val="multilevel"/>
    <w:tmpl w:val="A45FB35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DF07B60C"/>
    <w:multiLevelType w:val="singleLevel"/>
    <w:tmpl w:val="DF07B60C"/>
    <w:lvl w:ilvl="0" w:tentative="0">
      <w:start w:val="7"/>
      <w:numFmt w:val="chineseCounting"/>
      <w:suff w:val="nothing"/>
      <w:lvlText w:val="%1、"/>
      <w:lvlJc w:val="left"/>
      <w:rPr>
        <w:rFonts w:hint="eastAsia"/>
      </w:rPr>
    </w:lvl>
  </w:abstractNum>
  <w:abstractNum w:abstractNumId="4">
    <w:nsid w:val="430FA46B"/>
    <w:multiLevelType w:val="singleLevel"/>
    <w:tmpl w:val="430FA46B"/>
    <w:lvl w:ilvl="0" w:tentative="0">
      <w:start w:val="2"/>
      <w:numFmt w:val="chineseCounting"/>
      <w:suff w:val="nothing"/>
      <w:lvlText w:val="%1、"/>
      <w:lvlJc w:val="left"/>
      <w:rPr>
        <w:rFonts w:hint="eastAsia"/>
      </w:rPr>
    </w:lvl>
  </w:abstractNum>
  <w:abstractNum w:abstractNumId="5">
    <w:nsid w:val="6EA2F996"/>
    <w:multiLevelType w:val="singleLevel"/>
    <w:tmpl w:val="6EA2F996"/>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823DD"/>
    <w:rsid w:val="038623A5"/>
    <w:rsid w:val="07D27633"/>
    <w:rsid w:val="093F01D2"/>
    <w:rsid w:val="0AFA2F24"/>
    <w:rsid w:val="0B67043A"/>
    <w:rsid w:val="0BEE1F9F"/>
    <w:rsid w:val="1FC01FD3"/>
    <w:rsid w:val="205206B2"/>
    <w:rsid w:val="2C6848CD"/>
    <w:rsid w:val="2E844DC4"/>
    <w:rsid w:val="365E2204"/>
    <w:rsid w:val="3EBB0E14"/>
    <w:rsid w:val="3F050E3A"/>
    <w:rsid w:val="47157E29"/>
    <w:rsid w:val="51593273"/>
    <w:rsid w:val="531239B9"/>
    <w:rsid w:val="56323299"/>
    <w:rsid w:val="66403954"/>
    <w:rsid w:val="6B8823DD"/>
    <w:rsid w:val="6D535020"/>
    <w:rsid w:val="6DE23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page number"/>
    <w:basedOn w:val="4"/>
    <w:qFormat/>
    <w:uiPriority w:val="0"/>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2019-01-31T02:41:00Z</dcterms:created>
  <dc:creator>jiajiajia</dc:creator>
  <cp:lastModifiedBy>Administrator</cp:lastModifiedBy>
  <cp:lastPrinted>2020-02-10T07:12:00Z</cp:lastPrinted>
  <dcterms:modified xsi:type="dcterms:W3CDTF">2021-06-23T07:17:41Z</dcterms:modified>
  <dc:title>益阳市资阳区人力资源和社会保障局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