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5D" w:rsidRDefault="007C6F5D">
      <w:pPr>
        <w:pStyle w:val="Default"/>
        <w:jc w:val="center"/>
        <w:rPr>
          <w:sz w:val="84"/>
          <w:szCs w:val="84"/>
        </w:rPr>
      </w:pPr>
    </w:p>
    <w:p w:rsidR="007C6F5D" w:rsidRDefault="007C6F5D">
      <w:pPr>
        <w:pStyle w:val="Default"/>
        <w:jc w:val="center"/>
        <w:rPr>
          <w:sz w:val="84"/>
          <w:szCs w:val="84"/>
        </w:rPr>
      </w:pPr>
    </w:p>
    <w:p w:rsidR="007C6F5D" w:rsidRDefault="007C6F5D">
      <w:pPr>
        <w:pStyle w:val="Default"/>
        <w:jc w:val="center"/>
        <w:rPr>
          <w:sz w:val="84"/>
          <w:szCs w:val="84"/>
        </w:rPr>
      </w:pPr>
    </w:p>
    <w:p w:rsidR="007C6F5D" w:rsidRDefault="007C6F5D">
      <w:pPr>
        <w:pStyle w:val="Default"/>
        <w:jc w:val="center"/>
        <w:rPr>
          <w:sz w:val="84"/>
          <w:szCs w:val="84"/>
        </w:rPr>
      </w:pPr>
    </w:p>
    <w:p w:rsidR="007C6F5D" w:rsidRDefault="00000351">
      <w:pPr>
        <w:pStyle w:val="Default"/>
        <w:jc w:val="center"/>
        <w:rPr>
          <w:sz w:val="52"/>
          <w:szCs w:val="52"/>
        </w:rPr>
      </w:pPr>
      <w:r>
        <w:rPr>
          <w:rFonts w:hint="eastAsia"/>
          <w:sz w:val="52"/>
          <w:szCs w:val="52"/>
        </w:rPr>
        <w:t>2019年度</w:t>
      </w:r>
    </w:p>
    <w:p w:rsidR="007C6F5D" w:rsidRDefault="00000351">
      <w:pPr>
        <w:pStyle w:val="Default"/>
        <w:jc w:val="center"/>
        <w:rPr>
          <w:sz w:val="52"/>
          <w:szCs w:val="52"/>
        </w:rPr>
      </w:pPr>
      <w:r>
        <w:rPr>
          <w:rFonts w:hint="eastAsia"/>
          <w:sz w:val="52"/>
          <w:szCs w:val="52"/>
        </w:rPr>
        <w:t>益阳市资阳区人民政府办公室单位部门决算</w:t>
      </w:r>
    </w:p>
    <w:p w:rsidR="007C6F5D" w:rsidRDefault="007C6F5D">
      <w:pPr>
        <w:pStyle w:val="Default"/>
        <w:jc w:val="center"/>
        <w:rPr>
          <w:sz w:val="52"/>
          <w:szCs w:val="52"/>
        </w:rPr>
      </w:pPr>
    </w:p>
    <w:p w:rsidR="007C6F5D" w:rsidRDefault="007C6F5D">
      <w:pPr>
        <w:pStyle w:val="Default"/>
        <w:jc w:val="center"/>
        <w:rPr>
          <w:sz w:val="56"/>
          <w:szCs w:val="56"/>
        </w:rPr>
      </w:pPr>
    </w:p>
    <w:p w:rsidR="007C6F5D" w:rsidRDefault="007C6F5D">
      <w:pPr>
        <w:pStyle w:val="Default"/>
        <w:jc w:val="center"/>
        <w:rPr>
          <w:sz w:val="56"/>
          <w:szCs w:val="56"/>
        </w:rPr>
      </w:pPr>
    </w:p>
    <w:p w:rsidR="007C6F5D" w:rsidRDefault="007C6F5D">
      <w:pPr>
        <w:pStyle w:val="Default"/>
        <w:jc w:val="center"/>
        <w:rPr>
          <w:sz w:val="56"/>
          <w:szCs w:val="56"/>
        </w:rPr>
      </w:pPr>
    </w:p>
    <w:p w:rsidR="007C6F5D" w:rsidRDefault="007C6F5D">
      <w:pPr>
        <w:pStyle w:val="Default"/>
        <w:jc w:val="center"/>
        <w:rPr>
          <w:sz w:val="56"/>
          <w:szCs w:val="56"/>
        </w:rPr>
      </w:pPr>
    </w:p>
    <w:p w:rsidR="007C6F5D" w:rsidRDefault="007C6F5D">
      <w:pPr>
        <w:pStyle w:val="Default"/>
        <w:jc w:val="center"/>
        <w:rPr>
          <w:sz w:val="56"/>
          <w:szCs w:val="56"/>
        </w:rPr>
      </w:pPr>
    </w:p>
    <w:p w:rsidR="007C6F5D" w:rsidRDefault="007C6F5D">
      <w:pPr>
        <w:rPr>
          <w:sz w:val="56"/>
          <w:szCs w:val="56"/>
        </w:rPr>
      </w:pPr>
    </w:p>
    <w:p w:rsidR="007C6F5D" w:rsidRDefault="00000351">
      <w:pPr>
        <w:pStyle w:val="Default"/>
        <w:spacing w:line="520" w:lineRule="exact"/>
        <w:jc w:val="center"/>
        <w:rPr>
          <w:sz w:val="56"/>
          <w:szCs w:val="56"/>
        </w:rPr>
      </w:pPr>
      <w:r>
        <w:rPr>
          <w:rFonts w:hint="eastAsia"/>
          <w:sz w:val="56"/>
          <w:szCs w:val="56"/>
        </w:rPr>
        <w:t>目录</w:t>
      </w:r>
    </w:p>
    <w:p w:rsidR="007C6F5D" w:rsidRDefault="00000351">
      <w:pPr>
        <w:pStyle w:val="Default"/>
        <w:spacing w:line="520" w:lineRule="exact"/>
        <w:rPr>
          <w:rFonts w:ascii="仿宋_GB2312" w:hAnsi="仿宋_GB2312" w:cs="仿宋_GB2312"/>
          <w:b/>
          <w:sz w:val="28"/>
          <w:szCs w:val="28"/>
        </w:rPr>
      </w:pPr>
      <w:r>
        <w:rPr>
          <w:rFonts w:hint="eastAsia"/>
          <w:b/>
          <w:sz w:val="28"/>
          <w:szCs w:val="28"/>
        </w:rPr>
        <w:t>第一部分</w:t>
      </w:r>
      <w:r>
        <w:rPr>
          <w:rFonts w:asciiTheme="minorEastAsia" w:eastAsiaTheme="minorEastAsia" w:hAnsiTheme="minorEastAsia" w:cstheme="minorEastAsia" w:hint="eastAsia"/>
          <w:b/>
          <w:bCs/>
          <w:sz w:val="32"/>
          <w:szCs w:val="32"/>
        </w:rPr>
        <w:t>益阳市资阳区人民政府办公室</w:t>
      </w:r>
      <w:r>
        <w:rPr>
          <w:rFonts w:hint="eastAsia"/>
          <w:b/>
          <w:sz w:val="28"/>
          <w:szCs w:val="28"/>
        </w:rPr>
        <w:t>单位概况</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7C6F5D" w:rsidRDefault="00000351">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7C6F5D" w:rsidRDefault="00000351">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7C6F5D" w:rsidRDefault="0000035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7C6F5D" w:rsidRDefault="00000351">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7C6F5D" w:rsidRDefault="0000035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7C6F5D" w:rsidRDefault="00000351">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7C6F5D" w:rsidRDefault="00000351">
      <w:pPr>
        <w:spacing w:line="520" w:lineRule="exact"/>
        <w:jc w:val="left"/>
        <w:rPr>
          <w:sz w:val="72"/>
          <w:szCs w:val="72"/>
        </w:rPr>
      </w:pPr>
      <w:r>
        <w:rPr>
          <w:rFonts w:ascii="黑体" w:eastAsia="黑体" w:hAnsi="黑体" w:cs="黑体"/>
          <w:b/>
          <w:color w:val="000000"/>
          <w:kern w:val="0"/>
          <w:sz w:val="28"/>
          <w:szCs w:val="28"/>
        </w:rPr>
        <w:lastRenderedPageBreak/>
        <w:t>第五部分附件</w:t>
      </w:r>
    </w:p>
    <w:p w:rsidR="007C6F5D" w:rsidRDefault="00000351">
      <w:pPr>
        <w:pStyle w:val="Default"/>
        <w:rPr>
          <w:sz w:val="44"/>
          <w:szCs w:val="44"/>
        </w:rPr>
      </w:pPr>
      <w:r>
        <w:rPr>
          <w:rFonts w:hint="eastAsia"/>
          <w:sz w:val="44"/>
          <w:szCs w:val="44"/>
        </w:rPr>
        <w:t>第一部分</w:t>
      </w:r>
      <w:r>
        <w:rPr>
          <w:sz w:val="44"/>
          <w:szCs w:val="44"/>
        </w:rPr>
        <w:t xml:space="preserve"> </w:t>
      </w:r>
      <w:r>
        <w:rPr>
          <w:rFonts w:asciiTheme="minorEastAsia" w:eastAsiaTheme="minorEastAsia" w:hAnsiTheme="minorEastAsia" w:cstheme="minorEastAsia" w:hint="eastAsia"/>
          <w:b/>
          <w:bCs/>
          <w:sz w:val="44"/>
          <w:szCs w:val="44"/>
        </w:rPr>
        <w:t>益阳市资阳区人民政府办公室</w:t>
      </w:r>
      <w:r>
        <w:rPr>
          <w:rFonts w:hint="eastAsia"/>
          <w:sz w:val="44"/>
          <w:szCs w:val="44"/>
        </w:rPr>
        <w:t>单位概况</w:t>
      </w:r>
    </w:p>
    <w:p w:rsidR="007C6F5D" w:rsidRDefault="00000351">
      <w:pPr>
        <w:pStyle w:val="a6"/>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部门职责</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（一）协助区政府领导同志审核或组织起草以区政府、区政府办公室名义发布的公文。</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二）研究区政府各部门、各直属事业单位、驻区各单位和各乡镇人民政府（街道办事处、长春经开区管委会、黄家湖新区管委会）请示区政府的事项，提出审核意见，或对区政府部门间的分歧事项提出处理意见，报区政府领导同志审批决定。</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（三）负责起草《政府工作报告》和区政府、区政府主要领导重要文稿。</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（四）负责区政府会议的准备工作，协助区政府领导组织会议决定事项的实施。</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五）负责督促检查区政府各部门、各直属事业单位和各乡镇人民政府（街道办事处、长春经开区管委会、黄家湖新区管委会）对区政府决定事项及区政府领导有关指示的执行落实情况并跟踪调研，及时向区政府领导报告。</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（六）负责区政府值班工作，及时报告重要情况，传达和督促落实区政府领导批示；负责区长热线工作。</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（七）负责全区经济和社会发展监测分析，对经济社会</w:t>
      </w:r>
      <w:r>
        <w:rPr>
          <w:rFonts w:asciiTheme="minorEastAsia" w:hAnsiTheme="minorEastAsia" w:cstheme="minorEastAsia" w:hint="eastAsia"/>
          <w:sz w:val="32"/>
          <w:szCs w:val="32"/>
        </w:rPr>
        <w:lastRenderedPageBreak/>
        <w:t>发展中重大课题进行调查研究，提出政策建议，制定可行性方案。</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（八）负责区政府和区政府办公室信息发布工作，编辑《益阳市资阳区人民政府公报》。</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（九）负责组织协调开展人大代表建议、政协委员提案办理工作。</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（十）负责拟订全区金融业发展战略规划，推进全区金融市场（资本市场）体系建设、社会信用体系建设。</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（十一）负责全区“放管服”改革和政务公开工作。</w:t>
      </w:r>
    </w:p>
    <w:p w:rsidR="007C6F5D" w:rsidRPr="00FB5DDF"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（十二）推进、指导、协调、监督全区政府信息公开工作。</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（十三）负责全区政府系统办公室业务指导。</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（十四）完成区委、区政府和区政府领导交办的其他任务。</w:t>
      </w:r>
    </w:p>
    <w:p w:rsidR="007C6F5D" w:rsidRDefault="0000035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7C6F5D" w:rsidRDefault="00000351">
      <w:pPr>
        <w:ind w:firstLineChars="200" w:firstLine="640"/>
        <w:rPr>
          <w:rFonts w:asciiTheme="minorEastAsia" w:hAnsiTheme="minorEastAsia" w:cstheme="minorEastAsia"/>
          <w:sz w:val="32"/>
          <w:szCs w:val="32"/>
        </w:rPr>
      </w:pPr>
      <w:r>
        <w:rPr>
          <w:rFonts w:asciiTheme="minorEastAsia" w:hAnsiTheme="minorEastAsia" w:hint="eastAsia"/>
          <w:bCs/>
          <w:kern w:val="0"/>
          <w:sz w:val="32"/>
          <w:szCs w:val="32"/>
        </w:rPr>
        <w:t>（一）内设机构设置:</w:t>
      </w:r>
      <w:r>
        <w:rPr>
          <w:rFonts w:ascii="仿宋_GB2312" w:eastAsia="仿宋_GB2312" w:hAnsi="仿宋_GB2312" w:cs="仿宋_GB2312" w:hint="eastAsia"/>
          <w:b/>
          <w:bCs/>
          <w:kern w:val="0"/>
          <w:sz w:val="32"/>
          <w:szCs w:val="32"/>
        </w:rPr>
        <w:t xml:space="preserve"> </w:t>
      </w:r>
      <w:r>
        <w:rPr>
          <w:rFonts w:asciiTheme="minorEastAsia" w:hAnsiTheme="minorEastAsia" w:cstheme="minorEastAsia" w:hint="eastAsia"/>
          <w:sz w:val="32"/>
          <w:szCs w:val="32"/>
        </w:rPr>
        <w:t>益阳市资阳区人民政府办公室设8个内设机构和1个公益一类事业单位信息中心。内设股室分别为：秘书科、文电组、经济研究室、区长热线办（值班室）、督查室、人事组（财务组、招商办）、金融工作组、“放管服”改革组（政务公开组）。</w:t>
      </w:r>
    </w:p>
    <w:p w:rsidR="007C6F5D" w:rsidRDefault="00000351">
      <w:pPr>
        <w:widowControl/>
        <w:numPr>
          <w:ilvl w:val="0"/>
          <w:numId w:val="2"/>
        </w:numPr>
        <w:spacing w:line="600" w:lineRule="exact"/>
        <w:rPr>
          <w:rFonts w:asciiTheme="minorEastAsia" w:hAnsiTheme="minorEastAsia" w:cstheme="minorEastAsia"/>
          <w:bCs/>
          <w:kern w:val="0"/>
          <w:sz w:val="32"/>
          <w:szCs w:val="32"/>
        </w:rPr>
      </w:pPr>
      <w:r>
        <w:rPr>
          <w:rFonts w:asciiTheme="minorEastAsia" w:hAnsiTheme="minorEastAsia" w:hint="eastAsia"/>
          <w:bCs/>
          <w:kern w:val="0"/>
          <w:sz w:val="32"/>
          <w:szCs w:val="32"/>
        </w:rPr>
        <w:lastRenderedPageBreak/>
        <w:t>决算单位构成:</w:t>
      </w:r>
      <w:r>
        <w:rPr>
          <w:rFonts w:asciiTheme="minorEastAsia" w:hAnsiTheme="minorEastAsia" w:cstheme="minorEastAsia" w:hint="eastAsia"/>
          <w:sz w:val="32"/>
          <w:szCs w:val="32"/>
        </w:rPr>
        <w:t>益阳市资阳区人民政府办公室</w:t>
      </w:r>
      <w:r>
        <w:rPr>
          <w:rFonts w:asciiTheme="minorEastAsia" w:hAnsiTheme="minorEastAsia" w:cstheme="minorEastAsia" w:hint="eastAsia"/>
          <w:bCs/>
          <w:kern w:val="0"/>
          <w:sz w:val="32"/>
          <w:szCs w:val="32"/>
        </w:rPr>
        <w:t>2019</w:t>
      </w:r>
      <w:r>
        <w:rPr>
          <w:rFonts w:asciiTheme="minorEastAsia" w:hAnsiTheme="minorEastAsia" w:hint="eastAsia"/>
          <w:bCs/>
          <w:kern w:val="0"/>
          <w:sz w:val="32"/>
          <w:szCs w:val="32"/>
        </w:rPr>
        <w:t>年部门决算汇总公开单位构成：</w:t>
      </w:r>
      <w:r>
        <w:rPr>
          <w:rFonts w:asciiTheme="minorEastAsia" w:hAnsiTheme="minorEastAsia" w:cstheme="minorEastAsia" w:hint="eastAsia"/>
          <w:sz w:val="32"/>
          <w:szCs w:val="32"/>
        </w:rPr>
        <w:t>益阳市资阳区人民政府办公室</w:t>
      </w:r>
      <w:r>
        <w:rPr>
          <w:rFonts w:asciiTheme="minorEastAsia" w:hAnsiTheme="minorEastAsia" w:cstheme="minorEastAsia" w:hint="eastAsia"/>
          <w:bCs/>
          <w:kern w:val="0"/>
          <w:sz w:val="32"/>
          <w:szCs w:val="32"/>
        </w:rPr>
        <w:t>单位本级</w:t>
      </w:r>
    </w:p>
    <w:p w:rsidR="007C6F5D" w:rsidRDefault="007C6F5D" w:rsidP="00987A72">
      <w:pPr>
        <w:widowControl/>
        <w:spacing w:line="600" w:lineRule="exact"/>
        <w:ind w:firstLineChars="98" w:firstLine="314"/>
        <w:jc w:val="left"/>
        <w:rPr>
          <w:rFonts w:asciiTheme="minorEastAsia" w:hAnsiTheme="minorEastAsia" w:cstheme="minorEastAsia"/>
          <w:kern w:val="0"/>
          <w:sz w:val="32"/>
          <w:szCs w:val="32"/>
        </w:rPr>
      </w:pPr>
    </w:p>
    <w:p w:rsidR="007C6F5D" w:rsidRDefault="007C6F5D">
      <w:pPr>
        <w:widowControl/>
        <w:spacing w:line="600" w:lineRule="exact"/>
        <w:rPr>
          <w:rFonts w:asciiTheme="minorEastAsia" w:hAnsiTheme="minorEastAsia"/>
          <w:bCs/>
          <w:kern w:val="0"/>
          <w:sz w:val="32"/>
          <w:szCs w:val="32"/>
        </w:rPr>
      </w:pPr>
    </w:p>
    <w:p w:rsidR="007C6F5D" w:rsidRDefault="007C6F5D">
      <w:pPr>
        <w:widowControl/>
        <w:spacing w:line="600" w:lineRule="exact"/>
        <w:rPr>
          <w:rFonts w:asciiTheme="minorEastAsia" w:hAnsiTheme="minorEastAsia"/>
          <w:bCs/>
          <w:kern w:val="0"/>
          <w:sz w:val="32"/>
          <w:szCs w:val="32"/>
        </w:rPr>
      </w:pPr>
    </w:p>
    <w:p w:rsidR="007C6F5D" w:rsidRDefault="00000351">
      <w:pPr>
        <w:pStyle w:val="Default"/>
        <w:numPr>
          <w:ilvl w:val="0"/>
          <w:numId w:val="3"/>
        </w:numPr>
        <w:rPr>
          <w:sz w:val="44"/>
          <w:szCs w:val="44"/>
        </w:rPr>
      </w:pPr>
      <w:r>
        <w:rPr>
          <w:rFonts w:hint="eastAsia"/>
          <w:sz w:val="44"/>
          <w:szCs w:val="44"/>
        </w:rPr>
        <w:t>部门决算表（见附表）</w:t>
      </w:r>
    </w:p>
    <w:p w:rsidR="007C6F5D" w:rsidRDefault="007C6F5D">
      <w:pPr>
        <w:pStyle w:val="Default"/>
        <w:rPr>
          <w:sz w:val="44"/>
          <w:szCs w:val="44"/>
        </w:rPr>
      </w:pPr>
    </w:p>
    <w:p w:rsidR="007C6F5D" w:rsidRDefault="00000351">
      <w:pPr>
        <w:pStyle w:val="Default"/>
        <w:jc w:val="both"/>
        <w:rPr>
          <w:sz w:val="48"/>
          <w:szCs w:val="48"/>
        </w:rPr>
      </w:pPr>
      <w:r>
        <w:rPr>
          <w:rFonts w:hint="eastAsia"/>
          <w:sz w:val="48"/>
          <w:szCs w:val="48"/>
        </w:rPr>
        <w:t>第三部分</w:t>
      </w:r>
      <w:r>
        <w:rPr>
          <w:sz w:val="48"/>
          <w:szCs w:val="48"/>
        </w:rPr>
        <w:t>2019</w:t>
      </w:r>
      <w:r>
        <w:rPr>
          <w:rFonts w:hint="eastAsia"/>
          <w:sz w:val="48"/>
          <w:szCs w:val="48"/>
        </w:rPr>
        <w:t>年度部门决算情况说明</w:t>
      </w:r>
    </w:p>
    <w:p w:rsidR="007C6F5D" w:rsidRDefault="00000351">
      <w:pPr>
        <w:pStyle w:val="Default"/>
        <w:rPr>
          <w:rFonts w:hAnsi="黑体"/>
          <w:b/>
          <w:sz w:val="32"/>
          <w:szCs w:val="32"/>
        </w:rPr>
      </w:pPr>
      <w:r>
        <w:rPr>
          <w:rFonts w:hAnsi="黑体" w:hint="eastAsia"/>
          <w:b/>
          <w:sz w:val="32"/>
          <w:szCs w:val="32"/>
        </w:rPr>
        <w:t>一、收入支出决算总体情况说明</w:t>
      </w:r>
    </w:p>
    <w:p w:rsidR="007C6F5D" w:rsidRDefault="00000351">
      <w:pPr>
        <w:pStyle w:val="a5"/>
        <w:widowControl w:val="0"/>
        <w:spacing w:before="0" w:beforeAutospacing="0" w:after="0" w:afterAutospacing="0" w:line="580" w:lineRule="exact"/>
        <w:ind w:firstLineChars="200" w:firstLine="640"/>
        <w:jc w:val="both"/>
        <w:rPr>
          <w:rFonts w:ascii="仿宋_GB2312" w:eastAsia="仿宋_GB2312" w:hAnsi="Times New Roman" w:cs="Times New Roman"/>
          <w:color w:val="000000"/>
          <w:spacing w:val="-4"/>
          <w:sz w:val="32"/>
          <w:szCs w:val="32"/>
          <w:u w:color="000000"/>
        </w:rPr>
      </w:pPr>
      <w:r>
        <w:rPr>
          <w:rFonts w:asciiTheme="minorEastAsia" w:hAnsiTheme="minorEastAsia" w:cstheme="minorEastAsia" w:hint="eastAsia"/>
          <w:sz w:val="32"/>
          <w:szCs w:val="32"/>
        </w:rPr>
        <w:t>本单位</w:t>
      </w:r>
      <w:r>
        <w:rPr>
          <w:rFonts w:asciiTheme="minorEastAsia" w:hAnsiTheme="minorEastAsia" w:cstheme="minorEastAsia" w:hint="eastAsia"/>
          <w:color w:val="000000"/>
          <w:sz w:val="32"/>
        </w:rPr>
        <w:t>2019年度收、支总计1165.6万元，其中：本年度一般公共预算财政拨款收入1096.33万元、其他收入27.49万元、年初结转和结余41.78万元；收入比上年同期增加48.1万元，增长4.3%；本年度实际支出1118.17万元，年末结转和结余47.43万元，支出比上年同期减少26.63万元，下降2.32%；其中基本支出927.89万元、</w:t>
      </w:r>
      <w:r>
        <w:rPr>
          <w:rFonts w:asciiTheme="minorEastAsia" w:hAnsiTheme="minorEastAsia" w:cstheme="minorEastAsia" w:hint="eastAsia"/>
          <w:sz w:val="32"/>
          <w:szCs w:val="32"/>
        </w:rPr>
        <w:t>比上年减少10.25%；</w:t>
      </w:r>
      <w:r>
        <w:rPr>
          <w:rFonts w:asciiTheme="minorEastAsia" w:hAnsiTheme="minorEastAsia" w:cstheme="minorEastAsia" w:hint="eastAsia"/>
          <w:color w:val="000000"/>
          <w:sz w:val="32"/>
        </w:rPr>
        <w:t>项目支出190.28万元、</w:t>
      </w:r>
      <w:r>
        <w:rPr>
          <w:rFonts w:asciiTheme="minorEastAsia" w:hAnsiTheme="minorEastAsia" w:cstheme="minorEastAsia" w:hint="eastAsia"/>
          <w:sz w:val="32"/>
          <w:szCs w:val="32"/>
        </w:rPr>
        <w:t>比上年新增79.4万元，对比上年增加71.61%</w:t>
      </w:r>
      <w:r>
        <w:rPr>
          <w:rFonts w:asciiTheme="minorEastAsia" w:hAnsiTheme="minorEastAsia" w:cstheme="minorEastAsia" w:hint="eastAsia"/>
          <w:color w:val="000000"/>
          <w:sz w:val="32"/>
        </w:rPr>
        <w:t>。主要原因：人员变动，在职人员比上年减少5人；日常公用经费比上年下降47.64%；</w:t>
      </w:r>
      <w:r>
        <w:rPr>
          <w:rFonts w:asciiTheme="minorEastAsia" w:hAnsiTheme="minorEastAsia" w:cstheme="minorEastAsia" w:hint="eastAsia"/>
          <w:sz w:val="32"/>
          <w:szCs w:val="32"/>
        </w:rPr>
        <w:t>新增热线平台等项目费用的预算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p>
    <w:p w:rsidR="007C6F5D" w:rsidRDefault="00000351">
      <w:pPr>
        <w:pStyle w:val="Default"/>
        <w:rPr>
          <w:rFonts w:hAnsi="黑体"/>
          <w:b/>
          <w:sz w:val="32"/>
          <w:szCs w:val="32"/>
        </w:rPr>
      </w:pPr>
      <w:r>
        <w:rPr>
          <w:rFonts w:hAnsi="黑体" w:hint="eastAsia"/>
          <w:b/>
          <w:sz w:val="32"/>
          <w:szCs w:val="32"/>
        </w:rPr>
        <w:t>二、收入决算情况说明</w:t>
      </w:r>
    </w:p>
    <w:p w:rsidR="007C6F5D" w:rsidRDefault="00000351">
      <w:pPr>
        <w:ind w:firstLine="709"/>
        <w:rPr>
          <w:rFonts w:asciiTheme="minorEastAsia" w:hAnsiTheme="minorEastAsia" w:cstheme="minorEastAsia"/>
          <w:spacing w:val="6"/>
          <w:sz w:val="32"/>
          <w:szCs w:val="32"/>
        </w:rPr>
      </w:pPr>
      <w:r>
        <w:rPr>
          <w:rFonts w:asciiTheme="minorEastAsia" w:hAnsiTheme="minorEastAsia" w:hint="eastAsia"/>
          <w:sz w:val="32"/>
          <w:szCs w:val="32"/>
        </w:rPr>
        <w:t>本年收入合计1123.82万元，其中：财政拨款收入</w:t>
      </w:r>
      <w:r>
        <w:rPr>
          <w:rFonts w:asciiTheme="minorEastAsia" w:hAnsiTheme="minorEastAsia" w:hint="eastAsia"/>
          <w:sz w:val="32"/>
          <w:szCs w:val="32"/>
        </w:rPr>
        <w:lastRenderedPageBreak/>
        <w:t>1096.33万元，占97.6%；其他收入27.49万元，占2.4%，</w:t>
      </w:r>
      <w:r>
        <w:rPr>
          <w:rFonts w:asciiTheme="minorEastAsia" w:hAnsiTheme="minorEastAsia" w:cstheme="minorEastAsia" w:hint="eastAsia"/>
          <w:spacing w:val="6"/>
          <w:sz w:val="32"/>
          <w:szCs w:val="32"/>
        </w:rPr>
        <w:t>其中：资阳区民政局21.1万元、其他往来款6.39万元。</w:t>
      </w:r>
    </w:p>
    <w:p w:rsidR="007C6F5D" w:rsidRDefault="00000351">
      <w:pPr>
        <w:pStyle w:val="Default"/>
        <w:rPr>
          <w:rFonts w:hAnsi="黑体"/>
          <w:b/>
          <w:sz w:val="32"/>
          <w:szCs w:val="32"/>
        </w:rPr>
      </w:pPr>
      <w:r>
        <w:rPr>
          <w:rFonts w:hAnsi="黑体" w:hint="eastAsia"/>
          <w:b/>
          <w:sz w:val="32"/>
          <w:szCs w:val="32"/>
        </w:rPr>
        <w:t>三、支出决算情况说明</w:t>
      </w:r>
    </w:p>
    <w:p w:rsidR="007C6F5D" w:rsidRDefault="0000035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本年支出合计1118.17万元，其中：基本支出927.89万元，占83%；项目支出190.28万元，占17%</w:t>
      </w:r>
      <w:r w:rsidR="00752B7F">
        <w:rPr>
          <w:rFonts w:asciiTheme="minorEastAsia" w:eastAsiaTheme="minorEastAsia" w:hAnsiTheme="minorEastAsia" w:hint="eastAsia"/>
          <w:sz w:val="32"/>
          <w:szCs w:val="32"/>
        </w:rPr>
        <w:t>；上缴上级支出0万元，占0%；经营支出0万元，占0%；对附属单位补助支出0万元，占0%。</w:t>
      </w:r>
    </w:p>
    <w:p w:rsidR="007C6F5D" w:rsidRDefault="00000351">
      <w:pPr>
        <w:pStyle w:val="Default"/>
        <w:rPr>
          <w:rFonts w:hAnsi="黑体"/>
          <w:b/>
          <w:sz w:val="32"/>
          <w:szCs w:val="32"/>
        </w:rPr>
      </w:pPr>
      <w:r>
        <w:rPr>
          <w:rFonts w:hAnsi="黑体" w:hint="eastAsia"/>
          <w:b/>
          <w:sz w:val="32"/>
          <w:szCs w:val="32"/>
        </w:rPr>
        <w:t>四、财政拨款收入支出决算总体情况说明</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2019年度财政拨款收、支总计1138.11万元，</w:t>
      </w:r>
      <w:r>
        <w:rPr>
          <w:rFonts w:asciiTheme="minorEastAsia" w:hAnsiTheme="minorEastAsia" w:cstheme="minorEastAsia" w:hint="eastAsia"/>
          <w:color w:val="000000"/>
          <w:sz w:val="32"/>
        </w:rPr>
        <w:t>其中：本年度一般公共预算财政拨款收入1096.33万元、年初结转和结余41.78万元。本年度财政拨款收入</w:t>
      </w:r>
      <w:r>
        <w:rPr>
          <w:rFonts w:asciiTheme="minorEastAsia" w:hAnsiTheme="minorEastAsia" w:cstheme="minorEastAsia" w:hint="eastAsia"/>
          <w:sz w:val="32"/>
          <w:szCs w:val="32"/>
        </w:rPr>
        <w:t>比上年同期减少11.13万元，减少1.01%；财政拨款支出总计1090.68万元，比上年同期减少44.1万元，减少3.88%。主要原因：一是人员减少、二是节约办公成本。</w:t>
      </w:r>
    </w:p>
    <w:p w:rsidR="007C6F5D" w:rsidRDefault="00000351">
      <w:pPr>
        <w:pStyle w:val="Default"/>
        <w:numPr>
          <w:ilvl w:val="0"/>
          <w:numId w:val="4"/>
        </w:numPr>
        <w:rPr>
          <w:rFonts w:hAnsi="黑体"/>
          <w:b/>
          <w:sz w:val="32"/>
          <w:szCs w:val="32"/>
        </w:rPr>
      </w:pPr>
      <w:r>
        <w:rPr>
          <w:rFonts w:hAnsi="黑体" w:hint="eastAsia"/>
          <w:b/>
          <w:sz w:val="32"/>
          <w:szCs w:val="32"/>
        </w:rPr>
        <w:t>一般公共预算财政拨款支出决算情况说明</w:t>
      </w:r>
    </w:p>
    <w:p w:rsidR="007C6F5D" w:rsidRDefault="0000035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2019年度财政拨款支出1090.68万元，占本年支出合计的97.54%，与2018年相比，财政拨款支出减少44.1万元，下降3.88%，主要是：</w:t>
      </w:r>
      <w:r>
        <w:rPr>
          <w:rFonts w:asciiTheme="minorEastAsia" w:eastAsiaTheme="minorEastAsia" w:hAnsiTheme="minorEastAsia" w:cstheme="minorEastAsia" w:hint="eastAsia"/>
          <w:sz w:val="32"/>
          <w:szCs w:val="32"/>
        </w:rPr>
        <w:t>一是人员减少、二是节约办公成本。</w:t>
      </w:r>
    </w:p>
    <w:p w:rsidR="007C6F5D" w:rsidRDefault="0000035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7C6F5D" w:rsidRDefault="00000351">
      <w:pPr>
        <w:widowControl/>
        <w:spacing w:line="560" w:lineRule="exact"/>
        <w:ind w:firstLineChars="200" w:firstLine="640"/>
        <w:rPr>
          <w:rFonts w:asciiTheme="minorEastAsia" w:hAnsiTheme="minorEastAsia" w:cstheme="minorEastAsia"/>
          <w:color w:val="000000"/>
          <w:sz w:val="32"/>
        </w:rPr>
      </w:pPr>
      <w:r>
        <w:rPr>
          <w:rFonts w:asciiTheme="minorEastAsia" w:hAnsiTheme="minorEastAsia" w:cstheme="minorEastAsia" w:hint="eastAsia"/>
          <w:sz w:val="32"/>
          <w:szCs w:val="32"/>
        </w:rPr>
        <w:t>2019年度财政拨款支出1090.68万元，主要用于以下方面：一般公共服务（类）支出937.66万元，占85.97%；</w:t>
      </w:r>
      <w:r>
        <w:rPr>
          <w:rFonts w:asciiTheme="minorEastAsia" w:hAnsiTheme="minorEastAsia" w:cstheme="minorEastAsia" w:hint="eastAsia"/>
          <w:color w:val="000000"/>
          <w:sz w:val="32"/>
        </w:rPr>
        <w:t>医</w:t>
      </w:r>
      <w:r>
        <w:rPr>
          <w:rFonts w:asciiTheme="minorEastAsia" w:hAnsiTheme="minorEastAsia" w:cstheme="minorEastAsia" w:hint="eastAsia"/>
          <w:color w:val="000000"/>
          <w:sz w:val="32"/>
        </w:rPr>
        <w:lastRenderedPageBreak/>
        <w:t>疗卫生与计划生育支出49.25万元，占4.52%；住房保障支出35.63万元，占3.27%；社会保障和就业支出68.14万元，占6.24% 。</w:t>
      </w:r>
    </w:p>
    <w:p w:rsidR="007C6F5D" w:rsidRDefault="007C6F5D">
      <w:pPr>
        <w:pStyle w:val="Default"/>
        <w:ind w:firstLineChars="200" w:firstLine="640"/>
        <w:rPr>
          <w:rFonts w:asciiTheme="minorEastAsia" w:eastAsiaTheme="minorEastAsia" w:hAnsiTheme="minorEastAsia"/>
          <w:sz w:val="32"/>
          <w:szCs w:val="32"/>
        </w:rPr>
      </w:pPr>
    </w:p>
    <w:p w:rsidR="007C6F5D" w:rsidRDefault="0000035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2019年度财政拨款支出年初预算数为807.29万元，支出决算数为1090.68万元，完成年初预算的135.1%，其中：</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1、一般公共服务支出（类）  政府办公厅（室）及相关机构事务（款）行政运行（项）。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年初预算为332.23万元，支出决算为374.25万元，完成年初预算的112.6%,决算数大于年初预算数的主要原因是：调整年初预算，发放2018年度绩效考核奖励金。</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2、一般公共服务支出（类） 政府办公厅（室）及相关机构事务（款）一般行政管理事务（项）。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年初预算为185.48万元，支出决算为190.28万元，完成年初预算的102.5%，决算数大于年初预算数的主要原因是：调整年初预算，新增2018年全市重点民生实事工作先进单位奖励经费,报刊订阅经费。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3、一般公共服务支出（类） 政府办公厅（室）及相关机构事务（款）其他政府办公厅（室）及相关机构事务支出（项）。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年初预算为156万元，支出决算为278.13万元，完成年</w:t>
      </w:r>
      <w:r>
        <w:rPr>
          <w:rFonts w:asciiTheme="minorEastAsia" w:eastAsiaTheme="minorEastAsia" w:hAnsiTheme="minorEastAsia" w:hint="eastAsia"/>
          <w:sz w:val="32"/>
          <w:szCs w:val="32"/>
        </w:rPr>
        <w:lastRenderedPageBreak/>
        <w:t>初预算的178.3%，决算数大于年初预算数的主要原因是：调整年初预算，新增2019年湖南省电子公文传输系统内网设备维护费及耗材费、新增督查、企业改制等经费。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4、一般公共服务支出（类） 其他一般公共服务支出（款）其他一般公共服务支出（项）。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年初预算为0万元，预算调整新增项目资金95万元，支出决算为95万元，完成预算的100%。</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5、卫生健康支出（类） 行政事业单位医疗（款）行政单位医疗（项）。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年初预算为49.25万元，支出决算为49.25万元，完成年初预算的100%。</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6、住房保障支出（类） 住房改革支出（款） 住房公积金（项）。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年初预算为31.63万元，支出决算为31.63万元，完成年初预算的100%。</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7、住房保障支出（类） 城乡社区住房（款） 住房公积金管理（项）。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年初预算为0万元，预算调整新增资金4万元，支出决算为4万元，完成预算的100%。</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8、社会保障和就业支出（类）行政事业单位离退休（款）机关事业单位基本养老保险缴费支出（项）。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年初预算为52.7万元，支出决算为52.7万元，完成年</w:t>
      </w:r>
      <w:r>
        <w:rPr>
          <w:rFonts w:asciiTheme="minorEastAsia" w:eastAsiaTheme="minorEastAsia" w:hAnsiTheme="minorEastAsia" w:hint="eastAsia"/>
          <w:sz w:val="32"/>
          <w:szCs w:val="32"/>
        </w:rPr>
        <w:lastRenderedPageBreak/>
        <w:t>初预算的100%。</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9、社会保障和就业支出（类）抚恤（款）死亡抚恤（项）。</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年初预算为15.44万元，预算调整新增资金15.44万元，支出决算为15.44万元，完成预算的100%。</w:t>
      </w:r>
    </w:p>
    <w:p w:rsidR="007C6F5D" w:rsidRDefault="007C6F5D">
      <w:pPr>
        <w:pStyle w:val="Default"/>
        <w:ind w:firstLineChars="250" w:firstLine="800"/>
        <w:rPr>
          <w:rFonts w:asciiTheme="minorEastAsia" w:eastAsiaTheme="minorEastAsia" w:hAnsiTheme="minorEastAsia"/>
          <w:sz w:val="32"/>
          <w:szCs w:val="32"/>
        </w:rPr>
      </w:pPr>
    </w:p>
    <w:p w:rsidR="007C6F5D" w:rsidRDefault="00000351">
      <w:pPr>
        <w:pStyle w:val="Default"/>
        <w:rPr>
          <w:rFonts w:hAnsi="黑体"/>
          <w:b/>
          <w:sz w:val="32"/>
          <w:szCs w:val="32"/>
        </w:rPr>
      </w:pPr>
      <w:r>
        <w:rPr>
          <w:rFonts w:hAnsi="黑体" w:hint="eastAsia"/>
          <w:b/>
          <w:sz w:val="32"/>
          <w:szCs w:val="32"/>
        </w:rPr>
        <w:t>六、一般公共预算财政拨款基本支出决算情况说明</w:t>
      </w:r>
    </w:p>
    <w:p w:rsidR="007C6F5D" w:rsidRDefault="00000351">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hint="eastAsia"/>
          <w:sz w:val="32"/>
          <w:szCs w:val="32"/>
        </w:rPr>
        <w:t>2019年度财政拨款基本支出900.4万元，其中：人员经费696.06万元，占基本支出的77.3%,主要包括</w:t>
      </w:r>
      <w:r>
        <w:rPr>
          <w:rFonts w:asciiTheme="minorEastAsia" w:eastAsiaTheme="minorEastAsia" w:hAnsiTheme="minorEastAsia" w:cstheme="minorEastAsia" w:hint="eastAsia"/>
          <w:sz w:val="32"/>
        </w:rPr>
        <w:t>基本工资、津贴补贴、奖金、社会保障缴费、伙食补助费等</w:t>
      </w:r>
      <w:r>
        <w:rPr>
          <w:rFonts w:asciiTheme="minorEastAsia" w:eastAsiaTheme="minorEastAsia" w:hAnsiTheme="minorEastAsia" w:hint="eastAsia"/>
          <w:sz w:val="32"/>
          <w:szCs w:val="32"/>
        </w:rPr>
        <w:t>；公用经费204.34万元，占基本支出的22.7%，主要包括</w:t>
      </w:r>
      <w:r>
        <w:rPr>
          <w:rFonts w:asciiTheme="minorEastAsia" w:eastAsiaTheme="minorEastAsia" w:hAnsiTheme="minorEastAsia" w:cstheme="minorEastAsia" w:hint="eastAsia"/>
          <w:sz w:val="32"/>
        </w:rPr>
        <w:t>办公费、印刷费、电费、邮电费等。</w:t>
      </w:r>
      <w:bookmarkStart w:id="0" w:name="_GoBack"/>
      <w:bookmarkEnd w:id="0"/>
    </w:p>
    <w:p w:rsidR="007C6F5D" w:rsidRDefault="00000351">
      <w:pPr>
        <w:pStyle w:val="Default"/>
        <w:rPr>
          <w:rFonts w:hAnsi="黑体"/>
          <w:b/>
          <w:sz w:val="32"/>
          <w:szCs w:val="32"/>
        </w:rPr>
      </w:pPr>
      <w:r>
        <w:rPr>
          <w:rFonts w:hAnsi="黑体" w:hint="eastAsia"/>
          <w:b/>
          <w:sz w:val="32"/>
          <w:szCs w:val="32"/>
        </w:rPr>
        <w:t>七、一般公共预算财政拨款三公经费支出决算情况说明</w:t>
      </w:r>
    </w:p>
    <w:p w:rsidR="007C6F5D" w:rsidRDefault="0000035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“三公”经费财政拨款支出预算为24.5万元，支出决算为32.8万元，完成预算的133.88%，其中：</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8.12万元，完成预算的812%，决算数大于年初预算数的主要原因是新增因公出国考察，与上年相比（增加）8.12万元，增长100%,增长的主要原因是资阳区政府办工作人员因公出国学习考察。</w:t>
      </w:r>
    </w:p>
    <w:p w:rsidR="007C6F5D" w:rsidRDefault="00000351">
      <w:pPr>
        <w:spacing w:line="560" w:lineRule="exact"/>
        <w:ind w:firstLineChars="200" w:firstLine="640"/>
        <w:jc w:val="left"/>
        <w:rPr>
          <w:rFonts w:ascii="仿宋_GB2312" w:hAnsi="仿宋" w:cs="仿宋"/>
          <w:color w:val="000000"/>
          <w:sz w:val="32"/>
        </w:rPr>
      </w:pPr>
      <w:r>
        <w:rPr>
          <w:rFonts w:asciiTheme="minorEastAsia" w:hAnsiTheme="minorEastAsia" w:hint="eastAsia"/>
          <w:sz w:val="32"/>
          <w:szCs w:val="32"/>
        </w:rPr>
        <w:t>公务接待费支出预算为0万元，支出决算为0万元，完成预算的0%。</w:t>
      </w:r>
    </w:p>
    <w:p w:rsidR="007C6F5D" w:rsidRDefault="0000035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公务用车购置费及运行维护费支出预算为24.5万元，支出决算为24.68万元，完成预算的100.73%，</w:t>
      </w:r>
      <w:r w:rsidR="00560839">
        <w:rPr>
          <w:rFonts w:asciiTheme="minorEastAsia" w:eastAsiaTheme="minorEastAsia" w:hAnsiTheme="minorEastAsia" w:hint="eastAsia"/>
          <w:sz w:val="32"/>
          <w:szCs w:val="32"/>
        </w:rPr>
        <w:t>决算数大于年初预算数的主要原因是实际支出金额略大于预算数</w:t>
      </w:r>
      <w:r w:rsidR="00987A72">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与上年相比减少7.43万元，减少23.14%,减少的主要原因是公务用车改革，支出费用减少。</w:t>
      </w:r>
    </w:p>
    <w:p w:rsidR="007C6F5D" w:rsidRDefault="0000035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7C6F5D" w:rsidRDefault="0000035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2019年度“三公”经费财政拨款支出决算中，公务接待费支出决算0万元，占0%,因公出国（境）费支出决算8.12万元，占24.8%,公务用车购置费及运行维护费支出决算24.68万元，占75.2%。其中：</w:t>
      </w:r>
    </w:p>
    <w:p w:rsidR="007C6F5D" w:rsidRDefault="00000351">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1、因公出国（境）费支出决算为8.12万元，全年安排因公出国（境）团组1个，累计1人次,开支内容包括：</w:t>
      </w:r>
    </w:p>
    <w:p w:rsidR="007C6F5D" w:rsidRDefault="0000035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出国考察支出8.12万元，主要用于出国考察机票、酒店住宿费用。</w:t>
      </w:r>
    </w:p>
    <w:p w:rsidR="00987A72" w:rsidRDefault="00000351" w:rsidP="00987A72">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987A72">
        <w:rPr>
          <w:rFonts w:asciiTheme="minorEastAsia" w:eastAsiaTheme="minorEastAsia" w:hAnsiTheme="minorEastAsia" w:hint="eastAsia"/>
          <w:sz w:val="32"/>
          <w:szCs w:val="32"/>
        </w:rPr>
        <w:t>2、公务接待费支出决算为0万元，全年共接待来访团组0个、来宾0人次，主要是本单位无公务接待费支出。</w:t>
      </w:r>
    </w:p>
    <w:p w:rsidR="007C6F5D" w:rsidRPr="00987A72" w:rsidRDefault="00987A72" w:rsidP="00987A72">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987A72">
        <w:rPr>
          <w:rFonts w:asciiTheme="minorEastAsia" w:eastAsiaTheme="minorEastAsia" w:hAnsiTheme="minorEastAsia" w:hint="eastAsia"/>
          <w:sz w:val="32"/>
          <w:szCs w:val="32"/>
        </w:rPr>
        <w:t>3</w:t>
      </w:r>
      <w:r w:rsidR="00000351" w:rsidRPr="00987A72">
        <w:rPr>
          <w:rFonts w:asciiTheme="minorEastAsia" w:eastAsiaTheme="minorEastAsia" w:hAnsiTheme="minorEastAsia" w:hint="eastAsia"/>
          <w:sz w:val="32"/>
          <w:szCs w:val="32"/>
        </w:rPr>
        <w:t>、公务用车购置费及运行维护费支出决算为24.68万元，其中：公务用车购置费0万元，（单位本级或某二级机构）更新公务用车0辆。公务用车运行维护费24.68万元，主要是车辆保险、汽车燃料费等支出，截止2019年12月31日，我单位开支财政拨款的公务用车保有量为7辆。</w:t>
      </w:r>
    </w:p>
    <w:p w:rsidR="007C6F5D" w:rsidRDefault="00000351">
      <w:pPr>
        <w:pStyle w:val="Default"/>
        <w:rPr>
          <w:rFonts w:hAnsi="黑体"/>
          <w:b/>
          <w:sz w:val="32"/>
          <w:szCs w:val="32"/>
        </w:rPr>
      </w:pPr>
      <w:r>
        <w:rPr>
          <w:rFonts w:hAnsi="黑体" w:hint="eastAsia"/>
          <w:b/>
          <w:sz w:val="32"/>
          <w:szCs w:val="32"/>
        </w:rPr>
        <w:t>八、政府性基金预算收入支出决算情况</w:t>
      </w:r>
    </w:p>
    <w:p w:rsidR="007C6F5D" w:rsidRDefault="0000035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 xml:space="preserve">     2019年度政府性基金预算财政拨款收入0万元；年初结转和结余0万元；支出0万元，其中基本支出0万元，项目支出0万元；年末结转和结余0万元。</w:t>
      </w:r>
    </w:p>
    <w:p w:rsidR="007C6F5D" w:rsidRDefault="00000351">
      <w:pPr>
        <w:pStyle w:val="Default"/>
        <w:rPr>
          <w:rFonts w:asciiTheme="minorEastAsia" w:eastAsiaTheme="minorEastAsia" w:hAnsiTheme="minorEastAsia" w:cstheme="minorEastAsia"/>
          <w:iCs/>
          <w:color w:val="auto"/>
          <w:sz w:val="32"/>
          <w:szCs w:val="32"/>
        </w:rPr>
      </w:pPr>
      <w:r>
        <w:rPr>
          <w:rFonts w:asciiTheme="minorEastAsia" w:eastAsiaTheme="minorEastAsia" w:hAnsiTheme="minorEastAsia" w:cstheme="minorEastAsia" w:hint="eastAsia"/>
          <w:iCs/>
          <w:color w:val="auto"/>
          <w:sz w:val="32"/>
          <w:szCs w:val="32"/>
        </w:rPr>
        <w:t>说明：本单位无政府性基金收支。</w:t>
      </w:r>
    </w:p>
    <w:p w:rsidR="007C6F5D" w:rsidRDefault="00000351">
      <w:pPr>
        <w:pStyle w:val="Default"/>
        <w:rPr>
          <w:rFonts w:hAnsi="黑体"/>
          <w:b/>
          <w:sz w:val="32"/>
          <w:szCs w:val="32"/>
        </w:rPr>
      </w:pPr>
      <w:r>
        <w:rPr>
          <w:rFonts w:hAnsi="黑体" w:hint="eastAsia"/>
          <w:b/>
          <w:sz w:val="32"/>
          <w:szCs w:val="32"/>
        </w:rPr>
        <w:t>九、关于2019年度预算绩效情况说明</w:t>
      </w:r>
    </w:p>
    <w:p w:rsidR="007C6F5D" w:rsidRDefault="00000351">
      <w:pPr>
        <w:ind w:firstLineChars="100" w:firstLine="320"/>
        <w:rPr>
          <w:rFonts w:asciiTheme="minorEastAsia" w:hAnsiTheme="minorEastAsia" w:cstheme="minorEastAsia"/>
          <w:sz w:val="32"/>
          <w:szCs w:val="32"/>
        </w:rPr>
      </w:pPr>
      <w:r>
        <w:rPr>
          <w:rFonts w:asciiTheme="minorEastAsia" w:hAnsiTheme="minorEastAsia" w:cstheme="minorEastAsia" w:hint="eastAsia"/>
          <w:sz w:val="32"/>
          <w:szCs w:val="32"/>
        </w:rPr>
        <w:t>（一）绩效管理工作开展情况 </w:t>
      </w:r>
    </w:p>
    <w:p w:rsidR="007C6F5D" w:rsidRDefault="00000351">
      <w:pPr>
        <w:ind w:firstLineChars="400" w:firstLine="1280"/>
        <w:rPr>
          <w:rFonts w:asciiTheme="minorEastAsia" w:hAnsiTheme="minorEastAsia" w:cstheme="minorEastAsia"/>
          <w:sz w:val="32"/>
          <w:szCs w:val="32"/>
        </w:rPr>
      </w:pPr>
      <w:r>
        <w:rPr>
          <w:rFonts w:asciiTheme="minorEastAsia" w:hAnsiTheme="minorEastAsia" w:cstheme="minorEastAsia" w:hint="eastAsia"/>
          <w:sz w:val="32"/>
          <w:szCs w:val="32"/>
        </w:rPr>
        <w:t>2019年，本部门按照有关政策文件和区财政局要求加强预算绩效管理工作，在编制2019年部门预算时，本部门将所有预算资金纳入绩效目标管理，实现了绩效目标与部门预算同步编制、同步申报。</w:t>
      </w:r>
    </w:p>
    <w:p w:rsidR="007C6F5D" w:rsidRDefault="00000351">
      <w:pPr>
        <w:numPr>
          <w:ilvl w:val="0"/>
          <w:numId w:val="5"/>
        </w:numPr>
        <w:ind w:leftChars="304" w:left="958" w:hangingChars="100" w:hanging="320"/>
        <w:rPr>
          <w:rFonts w:asciiTheme="minorEastAsia" w:hAnsiTheme="minorEastAsia" w:cstheme="minorEastAsia"/>
          <w:sz w:val="32"/>
          <w:szCs w:val="32"/>
        </w:rPr>
      </w:pPr>
      <w:r>
        <w:rPr>
          <w:rFonts w:asciiTheme="minorEastAsia" w:hAnsiTheme="minorEastAsia" w:cstheme="minorEastAsia" w:hint="eastAsia"/>
          <w:sz w:val="32"/>
          <w:szCs w:val="32"/>
        </w:rPr>
        <w:t>部门预算绩效目标</w:t>
      </w:r>
    </w:p>
    <w:p w:rsidR="007C6F5D" w:rsidRDefault="00000351">
      <w:pPr>
        <w:ind w:firstLineChars="300" w:firstLine="960"/>
        <w:rPr>
          <w:rFonts w:asciiTheme="minorEastAsia" w:hAnsiTheme="minorEastAsia" w:cstheme="minorEastAsia"/>
          <w:sz w:val="32"/>
          <w:szCs w:val="32"/>
        </w:rPr>
      </w:pPr>
      <w:r>
        <w:rPr>
          <w:rFonts w:asciiTheme="minorEastAsia" w:hAnsiTheme="minorEastAsia" w:cstheme="minorEastAsia" w:hint="eastAsia"/>
          <w:sz w:val="32"/>
          <w:szCs w:val="32"/>
        </w:rPr>
        <w:t>根据区财政局文件要求，本部门对2019年部门整 体支出制定了绩效目标，按照确定的职责，利用部门预算资金在一定期限内预期达到总体产出和效益</w:t>
      </w:r>
    </w:p>
    <w:p w:rsidR="007C6F5D" w:rsidRDefault="00000351">
      <w:pPr>
        <w:numPr>
          <w:ilvl w:val="0"/>
          <w:numId w:val="5"/>
        </w:numPr>
        <w:ind w:leftChars="304" w:left="958" w:hangingChars="100" w:hanging="320"/>
        <w:rPr>
          <w:rFonts w:asciiTheme="minorEastAsia" w:hAnsiTheme="minorEastAsia" w:cstheme="minorEastAsia"/>
          <w:sz w:val="32"/>
          <w:szCs w:val="32"/>
        </w:rPr>
      </w:pPr>
      <w:r>
        <w:rPr>
          <w:rFonts w:asciiTheme="minorEastAsia" w:hAnsiTheme="minorEastAsia" w:cstheme="minorEastAsia" w:hint="eastAsia"/>
          <w:sz w:val="32"/>
          <w:szCs w:val="32"/>
        </w:rPr>
        <w:t>预算绩效评价报告</w:t>
      </w:r>
    </w:p>
    <w:p w:rsidR="007C6F5D" w:rsidRDefault="00000351">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我单位对部门整体支出专项资金专款专用，对存在的问题及时予以纠正。组织召开了专题会议，制定了工作计划，成立了工作领导小组，组织开展绩效评价工作，对2019年部门整体支出进行了自评。</w:t>
      </w:r>
    </w:p>
    <w:p w:rsidR="007C6F5D" w:rsidRDefault="007C6F5D">
      <w:pPr>
        <w:pStyle w:val="Default"/>
        <w:rPr>
          <w:rFonts w:hAnsi="黑体"/>
          <w:b/>
          <w:sz w:val="32"/>
          <w:szCs w:val="32"/>
        </w:rPr>
      </w:pPr>
    </w:p>
    <w:p w:rsidR="007C6F5D" w:rsidRDefault="00000351">
      <w:pPr>
        <w:pStyle w:val="Default"/>
        <w:rPr>
          <w:rFonts w:hAnsi="黑体"/>
          <w:b/>
          <w:sz w:val="32"/>
          <w:szCs w:val="32"/>
        </w:rPr>
      </w:pPr>
      <w:r>
        <w:rPr>
          <w:rFonts w:hAnsi="黑体" w:hint="eastAsia"/>
          <w:b/>
          <w:sz w:val="32"/>
          <w:szCs w:val="32"/>
        </w:rPr>
        <w:t>十、其他重要事项情况说明</w:t>
      </w:r>
    </w:p>
    <w:p w:rsidR="007C6F5D" w:rsidRDefault="00000351">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7C6F5D" w:rsidRDefault="0000035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本部门2019 年度机关运行经费支出204.34万元，比年初预算数减少228.41万元，降低52.78%。主要原因是：本年度</w:t>
      </w:r>
      <w:r>
        <w:rPr>
          <w:rFonts w:asciiTheme="minorEastAsia" w:hAnsiTheme="minorEastAsia" w:cstheme="minorEastAsia" w:hint="eastAsia"/>
          <w:sz w:val="32"/>
          <w:szCs w:val="32"/>
        </w:rPr>
        <w:t>节约办公成本，压缩一般性支出</w:t>
      </w:r>
      <w:r>
        <w:rPr>
          <w:rFonts w:asciiTheme="minorEastAsia" w:hAnsiTheme="minorEastAsia" w:cs="黑体" w:hint="eastAsia"/>
          <w:color w:val="000000"/>
          <w:kern w:val="0"/>
          <w:sz w:val="32"/>
          <w:szCs w:val="32"/>
        </w:rPr>
        <w:t>。</w:t>
      </w:r>
    </w:p>
    <w:p w:rsidR="007C6F5D" w:rsidRDefault="00000351">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7C6F5D" w:rsidRDefault="0000035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2019年本部门开支培训费2.87万元，用于开展电动车整治培训，人数185人。</w:t>
      </w:r>
    </w:p>
    <w:p w:rsidR="007C6F5D" w:rsidRDefault="00000351">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7C6F5D" w:rsidRDefault="00000351">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7C6F5D" w:rsidRDefault="00000351">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7C6F5D" w:rsidRDefault="00000351">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截至2019年12月31日，本单位共有车辆7辆，其中，领导干部用车1辆、机要通信用车0辆、应急保障用车0辆、执法执勤用车00辆、特种专业技术用车0辆、其他用车6辆，其他用车主要是</w:t>
      </w:r>
      <w:r>
        <w:rPr>
          <w:rFonts w:asciiTheme="minorEastAsia" w:hAnsiTheme="minorEastAsia" w:cstheme="minorEastAsia" w:hint="eastAsia"/>
          <w:kern w:val="0"/>
          <w:sz w:val="32"/>
          <w:szCs w:val="32"/>
        </w:rPr>
        <w:t>一般公务用车</w:t>
      </w:r>
      <w:r>
        <w:rPr>
          <w:rFonts w:asciiTheme="minorEastAsia" w:hAnsiTheme="minorEastAsia" w:cs="黑体" w:hint="eastAsia"/>
          <w:color w:val="000000"/>
          <w:kern w:val="0"/>
          <w:sz w:val="32"/>
          <w:szCs w:val="32"/>
        </w:rPr>
        <w:t>；单位价值50万元以上通用设备0台（套）；单位价值100万元以上专用设备0台（套）。</w:t>
      </w:r>
    </w:p>
    <w:p w:rsidR="007C6F5D" w:rsidRDefault="007C6F5D">
      <w:pPr>
        <w:ind w:firstLineChars="200" w:firstLine="640"/>
        <w:rPr>
          <w:rFonts w:asciiTheme="minorEastAsia" w:hAnsiTheme="minorEastAsia" w:cs="黑体"/>
          <w:color w:val="000000"/>
          <w:kern w:val="0"/>
          <w:sz w:val="32"/>
          <w:szCs w:val="32"/>
        </w:rPr>
      </w:pPr>
    </w:p>
    <w:p w:rsidR="007C6F5D" w:rsidRDefault="00000351">
      <w:pPr>
        <w:pStyle w:val="Default"/>
        <w:jc w:val="both"/>
        <w:rPr>
          <w:sz w:val="44"/>
          <w:szCs w:val="44"/>
        </w:rPr>
      </w:pPr>
      <w:r>
        <w:rPr>
          <w:rFonts w:hint="eastAsia"/>
          <w:sz w:val="44"/>
          <w:szCs w:val="44"/>
        </w:rPr>
        <w:t>第四部分名词解释</w:t>
      </w:r>
    </w:p>
    <w:p w:rsidR="007C6F5D" w:rsidRDefault="00000351">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7C6F5D" w:rsidRDefault="00000351">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7C6F5D" w:rsidRDefault="00000351">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7C6F5D" w:rsidRDefault="00000351">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7C6F5D" w:rsidRDefault="00000351">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7C6F5D" w:rsidRDefault="00000351">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7C6F5D" w:rsidRDefault="00000351">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7C6F5D" w:rsidRDefault="00000351">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w:t>
      </w:r>
      <w:r>
        <w:rPr>
          <w:rFonts w:ascii="仿宋" w:eastAsia="仿宋" w:hAnsi="仿宋" w:cs="仿宋"/>
          <w:sz w:val="32"/>
        </w:rPr>
        <w:lastRenderedPageBreak/>
        <w:t xml:space="preserve">度按有关规定继续使用的资金。 </w:t>
      </w:r>
    </w:p>
    <w:p w:rsidR="007C6F5D" w:rsidRDefault="00000351">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7C6F5D" w:rsidRDefault="00000351">
      <w:pPr>
        <w:jc w:val="left"/>
        <w:rPr>
          <w:rFonts w:ascii="仿宋" w:eastAsia="仿宋" w:hAnsi="仿宋" w:cs="仿宋"/>
          <w:sz w:val="32"/>
        </w:rPr>
      </w:pPr>
      <w:r>
        <w:rPr>
          <w:rFonts w:ascii="仿宋" w:eastAsia="仿宋" w:hAnsi="仿宋" w:cs="仿宋"/>
          <w:sz w:val="32"/>
        </w:rPr>
        <w:t xml:space="preserve">作任务而发生的人员支出和公用支出。 </w:t>
      </w:r>
    </w:p>
    <w:p w:rsidR="007C6F5D" w:rsidRDefault="00000351">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7C6F5D" w:rsidRDefault="00000351">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7C6F5D" w:rsidRDefault="00000351">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7C6F5D" w:rsidRDefault="00000351">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C6F5D" w:rsidRDefault="00000351">
      <w:pPr>
        <w:ind w:firstLine="643"/>
        <w:jc w:val="left"/>
        <w:rPr>
          <w:rFonts w:ascii="仿宋" w:eastAsia="仿宋" w:hAnsi="仿宋" w:cs="仿宋"/>
          <w:b/>
          <w:color w:val="FF0000"/>
          <w:sz w:val="32"/>
        </w:rPr>
      </w:pPr>
      <w:r>
        <w:rPr>
          <w:rFonts w:ascii="仿宋" w:eastAsia="仿宋" w:hAnsi="仿宋" w:cs="仿宋"/>
          <w:b/>
          <w:color w:val="FF0000"/>
          <w:sz w:val="32"/>
        </w:rPr>
        <w:lastRenderedPageBreak/>
        <w:t>（单位特有的名称解释，请自行添加）</w:t>
      </w:r>
    </w:p>
    <w:p w:rsidR="007C6F5D" w:rsidRDefault="007C6F5D">
      <w:pPr>
        <w:ind w:firstLine="643"/>
        <w:jc w:val="left"/>
        <w:rPr>
          <w:rFonts w:ascii="仿宋" w:eastAsia="仿宋" w:hAnsi="仿宋" w:cs="仿宋"/>
          <w:b/>
          <w:color w:val="FF0000"/>
          <w:sz w:val="32"/>
        </w:rPr>
      </w:pPr>
    </w:p>
    <w:p w:rsidR="007C6F5D" w:rsidRDefault="00000351">
      <w:pPr>
        <w:pStyle w:val="Default"/>
        <w:jc w:val="both"/>
        <w:rPr>
          <w:sz w:val="44"/>
          <w:szCs w:val="44"/>
        </w:rPr>
      </w:pPr>
      <w:r>
        <w:rPr>
          <w:rFonts w:hint="eastAsia"/>
          <w:sz w:val="44"/>
          <w:szCs w:val="44"/>
        </w:rPr>
        <w:t>第五部分 附件</w:t>
      </w:r>
    </w:p>
    <w:p w:rsidR="007C6F5D" w:rsidRDefault="00000351">
      <w:pPr>
        <w:keepNext/>
        <w:keepLines/>
        <w:ind w:firstLine="640"/>
        <w:rPr>
          <w:rFonts w:asciiTheme="minorEastAsia" w:hAnsiTheme="minorEastAsia" w:cstheme="minorEastAsia"/>
          <w:b/>
          <w:sz w:val="30"/>
          <w:szCs w:val="30"/>
          <w:highlight w:val="white"/>
        </w:rPr>
      </w:pPr>
      <w:r>
        <w:rPr>
          <w:rFonts w:asciiTheme="minorEastAsia" w:hAnsiTheme="minorEastAsia" w:cstheme="minorEastAsia" w:hint="eastAsia"/>
          <w:sz w:val="30"/>
          <w:szCs w:val="30"/>
          <w:highlight w:val="white"/>
        </w:rPr>
        <w:t>2019年度益阳市资阳区人民政府办公室部门决算公开表格</w:t>
      </w:r>
    </w:p>
    <w:p w:rsidR="007C6F5D" w:rsidRDefault="007C6F5D">
      <w:pPr>
        <w:widowControl/>
        <w:jc w:val="left"/>
        <w:rPr>
          <w:rFonts w:ascii="黑体" w:eastAsia="黑体" w:cs="黑体"/>
          <w:color w:val="000000"/>
          <w:kern w:val="0"/>
          <w:sz w:val="70"/>
          <w:szCs w:val="70"/>
        </w:rPr>
      </w:pPr>
    </w:p>
    <w:p w:rsidR="007C6F5D" w:rsidRDefault="007C6F5D">
      <w:pPr>
        <w:pStyle w:val="Default"/>
        <w:rPr>
          <w:sz w:val="44"/>
          <w:szCs w:val="44"/>
        </w:rPr>
      </w:pPr>
    </w:p>
    <w:p w:rsidR="007C6F5D" w:rsidRDefault="007C6F5D"/>
    <w:sectPr w:rsidR="007C6F5D" w:rsidSect="007C6F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63" w:rsidRDefault="00167363" w:rsidP="00987A72">
      <w:r>
        <w:separator/>
      </w:r>
    </w:p>
  </w:endnote>
  <w:endnote w:type="continuationSeparator" w:id="0">
    <w:p w:rsidR="00167363" w:rsidRDefault="00167363" w:rsidP="00987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63" w:rsidRDefault="00167363" w:rsidP="00987A72">
      <w:r>
        <w:separator/>
      </w:r>
    </w:p>
  </w:footnote>
  <w:footnote w:type="continuationSeparator" w:id="0">
    <w:p w:rsidR="00167363" w:rsidRDefault="00167363" w:rsidP="00987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D286BB76"/>
    <w:multiLevelType w:val="singleLevel"/>
    <w:tmpl w:val="D286BB76"/>
    <w:lvl w:ilvl="0">
      <w:start w:val="2"/>
      <w:numFmt w:val="chineseCounting"/>
      <w:suff w:val="nothing"/>
      <w:lvlText w:val="（%1）"/>
      <w:lvlJc w:val="left"/>
      <w:rPr>
        <w:rFonts w:hint="eastAsia"/>
      </w:rPr>
    </w:lvl>
  </w:abstractNum>
  <w:abstractNum w:abstractNumId="2">
    <w:nsid w:val="D7E5B18E"/>
    <w:multiLevelType w:val="singleLevel"/>
    <w:tmpl w:val="D7E5B18E"/>
    <w:lvl w:ilvl="0">
      <w:start w:val="2"/>
      <w:numFmt w:val="chineseCounting"/>
      <w:suff w:val="nothing"/>
      <w:lvlText w:val="（%1）"/>
      <w:lvlJc w:val="left"/>
      <w:rPr>
        <w:rFonts w:hint="eastAsia"/>
      </w:rPr>
    </w:lvl>
  </w:abstractNum>
  <w:abstractNum w:abstractNumId="3">
    <w:nsid w:val="FDEF3585"/>
    <w:multiLevelType w:val="singleLevel"/>
    <w:tmpl w:val="FDEF3585"/>
    <w:lvl w:ilvl="0">
      <w:start w:val="5"/>
      <w:numFmt w:val="chineseCounting"/>
      <w:suff w:val="nothing"/>
      <w:lvlText w:val="%1、"/>
      <w:lvlJc w:val="left"/>
      <w:rPr>
        <w:rFonts w:hint="eastAsia"/>
      </w:rPr>
    </w:lvl>
  </w:abstractNum>
  <w:abstractNum w:abstractNumId="4">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6E1C2B"/>
    <w:rsid w:val="00000351"/>
    <w:rsid w:val="00167363"/>
    <w:rsid w:val="00327CB1"/>
    <w:rsid w:val="00560839"/>
    <w:rsid w:val="00752B7F"/>
    <w:rsid w:val="007C6F5D"/>
    <w:rsid w:val="0090079A"/>
    <w:rsid w:val="00987A72"/>
    <w:rsid w:val="00DA7D0D"/>
    <w:rsid w:val="00FB5DDF"/>
    <w:rsid w:val="015D2C5C"/>
    <w:rsid w:val="01DB56C5"/>
    <w:rsid w:val="01E735C8"/>
    <w:rsid w:val="028A7D6D"/>
    <w:rsid w:val="03727E0E"/>
    <w:rsid w:val="041A07AC"/>
    <w:rsid w:val="04F233F6"/>
    <w:rsid w:val="055B202C"/>
    <w:rsid w:val="0566553A"/>
    <w:rsid w:val="06241BC8"/>
    <w:rsid w:val="069F004F"/>
    <w:rsid w:val="08255DC8"/>
    <w:rsid w:val="08864F04"/>
    <w:rsid w:val="09F718CA"/>
    <w:rsid w:val="0AD00802"/>
    <w:rsid w:val="0AF046B1"/>
    <w:rsid w:val="0B6B57DF"/>
    <w:rsid w:val="0B8E6E4A"/>
    <w:rsid w:val="0B9D3B8C"/>
    <w:rsid w:val="0D137CB2"/>
    <w:rsid w:val="0E5247FE"/>
    <w:rsid w:val="0EDE2EA6"/>
    <w:rsid w:val="0F6E1C2B"/>
    <w:rsid w:val="10293105"/>
    <w:rsid w:val="111E7F4B"/>
    <w:rsid w:val="112E0F5D"/>
    <w:rsid w:val="11AC445D"/>
    <w:rsid w:val="11BA7EF8"/>
    <w:rsid w:val="13790491"/>
    <w:rsid w:val="177D35E3"/>
    <w:rsid w:val="18E339F0"/>
    <w:rsid w:val="1A0A71B5"/>
    <w:rsid w:val="1AA57381"/>
    <w:rsid w:val="1D594710"/>
    <w:rsid w:val="1E253D84"/>
    <w:rsid w:val="1FB934B6"/>
    <w:rsid w:val="206D6EE3"/>
    <w:rsid w:val="2091527A"/>
    <w:rsid w:val="218D7A21"/>
    <w:rsid w:val="23073447"/>
    <w:rsid w:val="25FD12BC"/>
    <w:rsid w:val="27373FE5"/>
    <w:rsid w:val="28443E99"/>
    <w:rsid w:val="2A120DF8"/>
    <w:rsid w:val="2AD478D0"/>
    <w:rsid w:val="2B87290F"/>
    <w:rsid w:val="2E4F4138"/>
    <w:rsid w:val="2F96704A"/>
    <w:rsid w:val="329C1602"/>
    <w:rsid w:val="33063E42"/>
    <w:rsid w:val="36313B69"/>
    <w:rsid w:val="3A791EB4"/>
    <w:rsid w:val="3A7C7012"/>
    <w:rsid w:val="3A804E10"/>
    <w:rsid w:val="3C9E7180"/>
    <w:rsid w:val="3CF507C5"/>
    <w:rsid w:val="3D8D3F56"/>
    <w:rsid w:val="415356CE"/>
    <w:rsid w:val="42AE598C"/>
    <w:rsid w:val="42BA3553"/>
    <w:rsid w:val="452C77E1"/>
    <w:rsid w:val="45AC733F"/>
    <w:rsid w:val="45CE5F49"/>
    <w:rsid w:val="461B40E9"/>
    <w:rsid w:val="47485C1F"/>
    <w:rsid w:val="47922311"/>
    <w:rsid w:val="486C3F40"/>
    <w:rsid w:val="487E31ED"/>
    <w:rsid w:val="49100321"/>
    <w:rsid w:val="49376E42"/>
    <w:rsid w:val="497246C5"/>
    <w:rsid w:val="4A415CF7"/>
    <w:rsid w:val="4C4B6754"/>
    <w:rsid w:val="4C816CBD"/>
    <w:rsid w:val="4D4C04AD"/>
    <w:rsid w:val="4D4C7BE2"/>
    <w:rsid w:val="4EB9637B"/>
    <w:rsid w:val="4F0F096C"/>
    <w:rsid w:val="4F5A0617"/>
    <w:rsid w:val="4F784BC7"/>
    <w:rsid w:val="51194F31"/>
    <w:rsid w:val="52380881"/>
    <w:rsid w:val="525553CB"/>
    <w:rsid w:val="52730C73"/>
    <w:rsid w:val="53CD2EED"/>
    <w:rsid w:val="53D258BE"/>
    <w:rsid w:val="54D275C1"/>
    <w:rsid w:val="55C70C93"/>
    <w:rsid w:val="568F01FC"/>
    <w:rsid w:val="59AB3AB3"/>
    <w:rsid w:val="5AC14805"/>
    <w:rsid w:val="5D9F27FB"/>
    <w:rsid w:val="5F020277"/>
    <w:rsid w:val="5F6F35AC"/>
    <w:rsid w:val="63887B30"/>
    <w:rsid w:val="642D0DC3"/>
    <w:rsid w:val="66206888"/>
    <w:rsid w:val="67504C1A"/>
    <w:rsid w:val="68703182"/>
    <w:rsid w:val="69646EA2"/>
    <w:rsid w:val="6AE9399F"/>
    <w:rsid w:val="6F176E79"/>
    <w:rsid w:val="6F2B5E8F"/>
    <w:rsid w:val="71353D35"/>
    <w:rsid w:val="72615D2D"/>
    <w:rsid w:val="739D0CD7"/>
    <w:rsid w:val="741256D2"/>
    <w:rsid w:val="749261B6"/>
    <w:rsid w:val="74F86935"/>
    <w:rsid w:val="76BD1DB3"/>
    <w:rsid w:val="770D721E"/>
    <w:rsid w:val="77931FE8"/>
    <w:rsid w:val="78390566"/>
    <w:rsid w:val="78CC008C"/>
    <w:rsid w:val="7D05631E"/>
    <w:rsid w:val="7D22514C"/>
    <w:rsid w:val="7D4A0C22"/>
    <w:rsid w:val="7D6B071B"/>
    <w:rsid w:val="7D882300"/>
    <w:rsid w:val="7DC66F45"/>
    <w:rsid w:val="7EB00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F5D"/>
    <w:pPr>
      <w:widowControl w:val="0"/>
      <w:jc w:val="both"/>
    </w:pPr>
    <w:rPr>
      <w:kern w:val="2"/>
      <w:sz w:val="21"/>
      <w:szCs w:val="22"/>
    </w:rPr>
  </w:style>
  <w:style w:type="paragraph" w:styleId="1">
    <w:name w:val="heading 1"/>
    <w:basedOn w:val="a"/>
    <w:next w:val="a"/>
    <w:qFormat/>
    <w:rsid w:val="007C6F5D"/>
    <w:pPr>
      <w:keepNext/>
      <w:keepLines/>
      <w:outlineLvl w:val="0"/>
    </w:pPr>
    <w:rPr>
      <w:rFonts w:eastAsia="黑体"/>
      <w:b/>
      <w:kern w:val="44"/>
      <w:sz w:val="32"/>
    </w:rPr>
  </w:style>
  <w:style w:type="paragraph" w:styleId="2">
    <w:name w:val="heading 2"/>
    <w:basedOn w:val="a"/>
    <w:next w:val="a"/>
    <w:semiHidden/>
    <w:unhideWhenUsed/>
    <w:qFormat/>
    <w:rsid w:val="007C6F5D"/>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7C6F5D"/>
    <w:pPr>
      <w:keepNext/>
      <w:keepLines/>
      <w:ind w:firstLineChars="200" w:firstLine="880"/>
      <w:outlineLvl w:val="2"/>
    </w:pPr>
    <w:rPr>
      <w:rFonts w:eastAsia="黑体"/>
    </w:rPr>
  </w:style>
  <w:style w:type="paragraph" w:styleId="4">
    <w:name w:val="heading 4"/>
    <w:basedOn w:val="a"/>
    <w:next w:val="a"/>
    <w:semiHidden/>
    <w:unhideWhenUsed/>
    <w:qFormat/>
    <w:rsid w:val="007C6F5D"/>
    <w:pPr>
      <w:keepNext/>
      <w:keepLines/>
      <w:outlineLvl w:val="3"/>
    </w:pPr>
    <w:rPr>
      <w:rFonts w:ascii="Arial" w:eastAsia="黑体" w:hAnsi="Arial"/>
    </w:rPr>
  </w:style>
  <w:style w:type="paragraph" w:styleId="5">
    <w:name w:val="heading 5"/>
    <w:basedOn w:val="a"/>
    <w:next w:val="a"/>
    <w:semiHidden/>
    <w:unhideWhenUsed/>
    <w:qFormat/>
    <w:rsid w:val="007C6F5D"/>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7C6F5D"/>
    <w:pPr>
      <w:tabs>
        <w:tab w:val="center" w:pos="4153"/>
        <w:tab w:val="right" w:pos="8306"/>
      </w:tabs>
      <w:snapToGrid w:val="0"/>
      <w:jc w:val="left"/>
    </w:pPr>
    <w:rPr>
      <w:rFonts w:hint="eastAsia"/>
      <w:sz w:val="18"/>
    </w:rPr>
  </w:style>
  <w:style w:type="paragraph" w:styleId="a4">
    <w:name w:val="header"/>
    <w:basedOn w:val="a"/>
    <w:uiPriority w:val="99"/>
    <w:unhideWhenUsed/>
    <w:qFormat/>
    <w:rsid w:val="007C6F5D"/>
    <w:pPr>
      <w:pBdr>
        <w:bottom w:val="single" w:sz="6" w:space="1" w:color="auto"/>
      </w:pBdr>
      <w:tabs>
        <w:tab w:val="center" w:pos="4153"/>
        <w:tab w:val="right" w:pos="8306"/>
      </w:tabs>
      <w:snapToGrid w:val="0"/>
      <w:jc w:val="center"/>
    </w:pPr>
    <w:rPr>
      <w:rFonts w:hint="eastAsia"/>
      <w:sz w:val="18"/>
    </w:rPr>
  </w:style>
  <w:style w:type="paragraph" w:styleId="a5">
    <w:name w:val="Normal (Web)"/>
    <w:basedOn w:val="a"/>
    <w:qFormat/>
    <w:rsid w:val="007C6F5D"/>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7C6F5D"/>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7C6F5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913</Words>
  <Characters>5207</Characters>
  <Application>Microsoft Office Word</Application>
  <DocSecurity>0</DocSecurity>
  <Lines>43</Lines>
  <Paragraphs>12</Paragraphs>
  <ScaleCrop>false</ScaleCrop>
  <Company>Microsoft</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AutoBVT</cp:lastModifiedBy>
  <cp:revision>3</cp:revision>
  <dcterms:created xsi:type="dcterms:W3CDTF">2021-06-21T04:22:00Z</dcterms:created>
  <dcterms:modified xsi:type="dcterms:W3CDTF">2021-06-21T06:47:00Z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