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rFonts w:hint="eastAsia"/>
          <w:sz w:val="84"/>
          <w:szCs w:val="84"/>
        </w:rPr>
      </w:pPr>
    </w:p>
    <w:p>
      <w:pPr>
        <w:pStyle w:val="12"/>
        <w:jc w:val="center"/>
        <w:rPr>
          <w:rFonts w:hint="default" w:eastAsia="黑体"/>
          <w:sz w:val="84"/>
          <w:szCs w:val="84"/>
          <w:lang w:val="en-US" w:eastAsia="zh-CN"/>
        </w:rPr>
      </w:pPr>
      <w:r>
        <w:rPr>
          <w:rFonts w:hint="eastAsia"/>
          <w:sz w:val="84"/>
          <w:szCs w:val="84"/>
          <w:lang w:val="en-US" w:eastAsia="zh-CN"/>
        </w:rPr>
        <w:t>益阳市资阳区统计局2019年</w:t>
      </w:r>
      <w:r>
        <w:rPr>
          <w:rFonts w:hint="eastAsia"/>
          <w:sz w:val="84"/>
          <w:szCs w:val="84"/>
        </w:rPr>
        <w:t>部门</w:t>
      </w:r>
      <w:r>
        <w:rPr>
          <w:rFonts w:hint="eastAsia"/>
          <w:sz w:val="84"/>
          <w:szCs w:val="84"/>
          <w:lang w:val="en-US" w:eastAsia="zh-CN"/>
        </w:rPr>
        <w:t>决算公开</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rPr>
          <w:sz w:val="56"/>
          <w:szCs w:val="56"/>
        </w:rPr>
      </w:pPr>
    </w:p>
    <w:p>
      <w:pPr>
        <w:pStyle w:val="12"/>
        <w:spacing w:line="520" w:lineRule="exact"/>
        <w:jc w:val="center"/>
        <w:rPr>
          <w:sz w:val="56"/>
          <w:szCs w:val="56"/>
        </w:rPr>
      </w:pPr>
      <w:r>
        <w:rPr>
          <w:rFonts w:hint="eastAsia"/>
          <w:sz w:val="56"/>
          <w:szCs w:val="56"/>
        </w:rPr>
        <w:t>目录</w:t>
      </w:r>
    </w:p>
    <w:p>
      <w:pPr>
        <w:pStyle w:val="12"/>
        <w:spacing w:line="520" w:lineRule="exact"/>
        <w:outlineLvl w:val="0"/>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益阳市资阳区统计局</w:t>
      </w:r>
      <w:r>
        <w:rPr>
          <w:rFonts w:hint="eastAsia"/>
          <w:b/>
          <w:sz w:val="28"/>
          <w:szCs w:val="28"/>
        </w:rPr>
        <w:t>概况</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20" w:lineRule="exact"/>
        <w:outlineLvl w:val="0"/>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20" w:lineRule="exact"/>
        <w:outlineLvl w:val="0"/>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四、财政拨款收入支出决算总体情况说明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七、一般公共预算财政拨款三公经费支出决算情况说明</w:t>
      </w:r>
    </w:p>
    <w:p>
      <w:pPr>
        <w:pStyle w:val="12"/>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八</w:t>
      </w:r>
      <w:r>
        <w:rPr>
          <w:rFonts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rPr>
        <w:t>政府性基金预算收入支出决算情况</w:t>
      </w:r>
    </w:p>
    <w:p>
      <w:pPr>
        <w:pStyle w:val="12"/>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w:t>
      </w:r>
      <w:r>
        <w:rPr>
          <w:rFonts w:cs="仿宋_GB2312" w:asciiTheme="minorEastAsia" w:hAnsiTheme="minorEastAsia" w:eastAsiaTheme="minorEastAsia"/>
          <w:sz w:val="28"/>
          <w:szCs w:val="28"/>
        </w:rPr>
        <w:t>、预算绩效情况说明</w:t>
      </w:r>
    </w:p>
    <w:p>
      <w:pPr>
        <w:pStyle w:val="12"/>
        <w:spacing w:line="52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w:t>
      </w:r>
      <w:r>
        <w:rPr>
          <w:rFonts w:cs="仿宋_GB2312" w:asciiTheme="minorEastAsia" w:hAnsiTheme="minorEastAsia" w:eastAsiaTheme="minorEastAsia"/>
          <w:sz w:val="28"/>
          <w:szCs w:val="28"/>
        </w:rPr>
        <w:t>、其他重要事项情况说明</w:t>
      </w:r>
    </w:p>
    <w:p>
      <w:pPr>
        <w:pStyle w:val="12"/>
        <w:spacing w:line="520" w:lineRule="exact"/>
        <w:outlineLvl w:val="0"/>
        <w:rPr>
          <w:rFonts w:hint="eastAsia"/>
          <w:b/>
          <w:sz w:val="28"/>
          <w:szCs w:val="28"/>
        </w:rPr>
      </w:pPr>
      <w:r>
        <w:rPr>
          <w:rFonts w:hint="eastAsia"/>
          <w:b/>
          <w:sz w:val="28"/>
          <w:szCs w:val="28"/>
        </w:rPr>
        <w:t>第四部分名词解释</w:t>
      </w:r>
    </w:p>
    <w:p>
      <w:pPr>
        <w:spacing w:line="520" w:lineRule="exact"/>
        <w:jc w:val="left"/>
        <w:outlineLvl w:val="0"/>
        <w:rPr>
          <w:sz w:val="72"/>
          <w:szCs w:val="72"/>
        </w:rPr>
      </w:pPr>
      <w:r>
        <w:rPr>
          <w:rFonts w:ascii="黑体" w:hAnsi="黑体" w:eastAsia="黑体" w:cs="黑体"/>
          <w:b/>
          <w:color w:val="000000"/>
          <w:kern w:val="0"/>
          <w:sz w:val="28"/>
          <w:szCs w:val="28"/>
        </w:rPr>
        <w:t>第五部分附件</w:t>
      </w:r>
    </w:p>
    <w:p>
      <w:pPr>
        <w:pStyle w:val="12"/>
        <w:jc w:val="left"/>
        <w:outlineLvl w:val="0"/>
        <w:rPr>
          <w:sz w:val="44"/>
          <w:szCs w:val="44"/>
        </w:rPr>
      </w:pPr>
      <w:r>
        <w:rPr>
          <w:rFonts w:hint="eastAsia"/>
          <w:sz w:val="44"/>
          <w:szCs w:val="44"/>
        </w:rPr>
        <w:t>第一部分</w:t>
      </w:r>
      <w:r>
        <w:rPr>
          <w:sz w:val="44"/>
          <w:szCs w:val="44"/>
        </w:rPr>
        <w:t xml:space="preserve"> </w:t>
      </w:r>
      <w:r>
        <w:rPr>
          <w:rFonts w:hint="eastAsia"/>
          <w:sz w:val="44"/>
          <w:szCs w:val="44"/>
          <w:lang w:val="en-US" w:eastAsia="zh-CN"/>
        </w:rPr>
        <w:t>益阳市资阳区统计局</w:t>
      </w:r>
      <w:r>
        <w:rPr>
          <w:rFonts w:hint="eastAsia"/>
          <w:sz w:val="44"/>
          <w:szCs w:val="44"/>
        </w:rPr>
        <w:t>概况</w:t>
      </w:r>
    </w:p>
    <w:p>
      <w:pPr>
        <w:pStyle w:val="13"/>
        <w:numPr>
          <w:ilvl w:val="0"/>
          <w:numId w:val="1"/>
        </w:numPr>
        <w:ind w:firstLineChars="0"/>
        <w:jc w:val="left"/>
        <w:outlineLvl w:val="1"/>
        <w:rPr>
          <w:rFonts w:ascii="黑体" w:hAnsi="黑体" w:eastAsia="黑体"/>
          <w:sz w:val="32"/>
          <w:szCs w:val="32"/>
        </w:rPr>
      </w:pPr>
      <w:r>
        <w:rPr>
          <w:rFonts w:ascii="黑体" w:hAnsi="黑体" w:eastAsia="黑体"/>
          <w:sz w:val="32"/>
          <w:szCs w:val="32"/>
        </w:rPr>
        <w:t>部门职责</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贯彻执行国家统计工作的方针、政策和统计法律法规，完成国家统计调查任务，检查监督统计法规的实施情况，对全区统计单位进行执法检查，查处各类统计违法行为。（二）制定并组织实施统计改革和统计现代化建设规划、统计调查计划及调查方案。（三）指导和协调全区统计业务工作，组织开展区情区力专项调查，审核本区各部门的统计调查计划及调查方案。（四）根据区人民政府的统一部署，会同有关部门拟定大型普查计划与方案，组织实施全区人口、农业、经济等重大国情国力情况普查，汇总、整理和提供其普查的有关统计数据。（五）组织实施农林牧渔业、工业、建筑业、批发和零售业、住宿和餐饮业、房地产业、租赁和商务服务业、居民服务业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区性基本统计数据。（六）组织实施能源、投资、消费、价格、收入、科技、人口、劳动力、社会发展基本情况、环境基本状况等统计调查，收集、汇总、整理和提供有关调查的统计数据，综合整理和提供资源、房屋、对外贸易、对外经济等全区性基本统计数据。（七）依法审批或者备案区直各部门统计调查项目、地方统计调查项目，指导专业统计基础工作、统计基层业务基础建设，组织建立服务业统计信息管理制度，建立健全统计数据质量审核、监控和评估制度，开展对重要统计数据的审核、监控和评估，依法监督管理涉外调查活动。（八）建立并管理全区统计信息自动化系统和统计数据库系统，指导乡镇街道园区统计站统计信息化系统建设；加强统计基础建设。（九）为区委、区政府制定政策、编制国民经济和社会发展规划提供统计资料，对全区国民经济、科技进步和社会发展等情况进行统计分析、统计调研、统计检查和监督，向区委、政府及有关部门提供统计信息和咨询建议。（十）统一核定、管理、公布全区经济、社会、科技和基本统计资料，定期发布全区国民经济和社会发展情况统计公报及有关普查和专项调查公报，发布社会经济统计信息。（十一）建立健全统计信息自动化系统和统计数据库体系，指导各基层单位加强统计基础建设，加强统计教育和统计干部培训，不断提高统计人员的素质。（十二）承办区委、区政府交办的其他事项。</w:t>
      </w:r>
    </w:p>
    <w:p>
      <w:pPr>
        <w:widowControl/>
        <w:spacing w:line="600" w:lineRule="exact"/>
        <w:outlineLvl w:val="1"/>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（一）内设机构设置。</w:t>
      </w:r>
      <w:r>
        <w:rPr>
          <w:rFonts w:hint="eastAsia" w:asciiTheme="minorEastAsia" w:hAnsiTheme="minorEastAsia" w:eastAsiaTheme="minorEastAsia"/>
          <w:sz w:val="32"/>
          <w:szCs w:val="32"/>
          <w:lang w:eastAsia="zh-CN"/>
        </w:rPr>
        <w:t>本单位内设办公室、业务股、法规股三个机构；</w:t>
      </w:r>
      <w:r>
        <w:rPr>
          <w:rFonts w:hint="eastAsia" w:asciiTheme="minorEastAsia" w:hAnsiTheme="minorEastAsia" w:eastAsiaTheme="minorEastAsia"/>
          <w:sz w:val="32"/>
          <w:szCs w:val="32"/>
          <w:lang w:val="en-US" w:eastAsia="zh-CN"/>
        </w:rPr>
        <w:t>行政编制有6名，设局长1名，副局长2名，总统计师1名；机构负责人有3名。所属事业单位三个，益阳市资阳区农村经济调查队核定全额拨款事业编制4名，设队长1名；益阳市资阳区统计事务所，核定全额编制3名，设所长1名；益阳市资阳区电子计算机站，核定全额事业编制2名，设站长1名。</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（二）决算单位构成。</w:t>
      </w:r>
      <w:r>
        <w:rPr>
          <w:rFonts w:hint="eastAsia" w:asciiTheme="minorEastAsia" w:hAnsiTheme="minorEastAsia" w:eastAsiaTheme="minorEastAsia"/>
          <w:sz w:val="32"/>
          <w:szCs w:val="32"/>
          <w:lang w:val="en-US" w:eastAsia="zh-CN"/>
        </w:rPr>
        <w:t>只含资阳区统计局本级数据</w:t>
      </w:r>
    </w:p>
    <w:p>
      <w:pPr>
        <w:pStyle w:val="12"/>
        <w:ind w:firstLine="640" w:firstLineChars="200"/>
        <w:rPr>
          <w:rFonts w:hint="eastAsia" w:asciiTheme="minorEastAsia" w:hAnsiTheme="minorEastAsia" w:eastAsiaTheme="minorEastAsia"/>
          <w:sz w:val="32"/>
          <w:szCs w:val="32"/>
        </w:rPr>
      </w:pPr>
    </w:p>
    <w:p>
      <w:pPr>
        <w:pStyle w:val="12"/>
        <w:numPr>
          <w:ilvl w:val="0"/>
          <w:numId w:val="2"/>
        </w:numPr>
        <w:jc w:val="left"/>
        <w:outlineLvl w:val="0"/>
        <w:rPr>
          <w:rFonts w:hint="eastAsia"/>
          <w:sz w:val="44"/>
          <w:szCs w:val="44"/>
          <w:lang w:eastAsia="zh-CN"/>
        </w:rPr>
      </w:pPr>
      <w:r>
        <w:rPr>
          <w:rFonts w:hint="eastAsia"/>
          <w:sz w:val="44"/>
          <w:szCs w:val="44"/>
        </w:rPr>
        <w:t>部门决算表</w:t>
      </w:r>
      <w:r>
        <w:rPr>
          <w:rFonts w:hint="eastAsia"/>
          <w:sz w:val="44"/>
          <w:szCs w:val="44"/>
          <w:lang w:eastAsia="zh-CN"/>
        </w:rPr>
        <w:t>（</w:t>
      </w:r>
      <w:r>
        <w:rPr>
          <w:rFonts w:hint="eastAsia"/>
          <w:sz w:val="44"/>
          <w:szCs w:val="44"/>
          <w:lang w:val="en-US" w:eastAsia="zh-CN"/>
        </w:rPr>
        <w:t>见附表</w:t>
      </w:r>
      <w:r>
        <w:rPr>
          <w:rFonts w:hint="eastAsia"/>
          <w:sz w:val="44"/>
          <w:szCs w:val="44"/>
          <w:lang w:eastAsia="zh-CN"/>
        </w:rPr>
        <w:t>）</w:t>
      </w:r>
    </w:p>
    <w:p>
      <w:pPr>
        <w:pStyle w:val="12"/>
        <w:jc w:val="both"/>
        <w:outlineLvl w:val="0"/>
        <w:rPr>
          <w:sz w:val="48"/>
          <w:szCs w:val="48"/>
        </w:rPr>
      </w:pPr>
      <w:r>
        <w:rPr>
          <w:rFonts w:hint="eastAsia"/>
          <w:sz w:val="48"/>
          <w:szCs w:val="48"/>
        </w:rPr>
        <w:t>第三部分</w:t>
      </w:r>
      <w:r>
        <w:rPr>
          <w:sz w:val="48"/>
          <w:szCs w:val="48"/>
        </w:rPr>
        <w:t>2019</w:t>
      </w:r>
      <w:r>
        <w:rPr>
          <w:rFonts w:hint="eastAsia"/>
          <w:sz w:val="48"/>
          <w:szCs w:val="48"/>
        </w:rPr>
        <w:t>年度部门决算情况说明</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lang w:eastAsia="zh-CN"/>
        </w:rPr>
      </w:pP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一</w:t>
      </w:r>
      <w:r>
        <w:rPr>
          <w:rFonts w:hint="eastAsia" w:asciiTheme="minorEastAsia" w:hAnsiTheme="minorEastAsia" w:eastAsiaTheme="minorEastAsia"/>
          <w:b/>
          <w:sz w:val="32"/>
          <w:szCs w:val="32"/>
          <w:lang w:eastAsia="zh-CN"/>
        </w:rPr>
        <w:t>）收入支出决算总体情况说明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年收入</w:t>
      </w:r>
      <w:r>
        <w:rPr>
          <w:rFonts w:hint="eastAsia" w:asciiTheme="minorEastAsia" w:hAnsiTheme="minorEastAsia" w:eastAsiaTheme="minorEastAsia"/>
          <w:sz w:val="32"/>
          <w:szCs w:val="32"/>
          <w:lang w:val="en-US" w:eastAsia="zh-CN"/>
        </w:rPr>
        <w:t>支出</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是</w:t>
      </w:r>
      <w:r>
        <w:rPr>
          <w:rFonts w:hint="eastAsia" w:asciiTheme="minorEastAsia" w:hAnsiTheme="minorEastAsia" w:eastAsiaTheme="minorEastAsia"/>
          <w:sz w:val="32"/>
          <w:szCs w:val="32"/>
          <w:lang w:val="en-US" w:eastAsia="zh-CN"/>
        </w:rPr>
        <w:t>264.59万元</w:t>
      </w:r>
      <w:r>
        <w:rPr>
          <w:rFonts w:hint="eastAsia" w:asciiTheme="minorEastAsia" w:hAnsiTheme="minorEastAsia" w:eastAsiaTheme="minorEastAsia"/>
          <w:sz w:val="32"/>
          <w:szCs w:val="32"/>
        </w:rPr>
        <w:t>，较上年决算数减少了</w:t>
      </w:r>
      <w:r>
        <w:rPr>
          <w:rFonts w:hint="eastAsia" w:asciiTheme="minorEastAsia" w:hAnsiTheme="minorEastAsia" w:eastAsiaTheme="minorEastAsia"/>
          <w:sz w:val="32"/>
          <w:szCs w:val="32"/>
          <w:lang w:val="en-US" w:eastAsia="zh-CN"/>
        </w:rPr>
        <w:t>9.08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265.49万元，</w:t>
      </w:r>
      <w:r>
        <w:rPr>
          <w:rFonts w:hint="eastAsia" w:asciiTheme="minorEastAsia" w:hAnsiTheme="minorEastAsia" w:eastAsiaTheme="minorEastAsia"/>
          <w:sz w:val="32"/>
          <w:szCs w:val="32"/>
        </w:rPr>
        <w:t>较上年降低了</w:t>
      </w:r>
      <w:r>
        <w:rPr>
          <w:rFonts w:hint="eastAsia" w:asciiTheme="minorEastAsia" w:hAnsiTheme="minorEastAsia" w:eastAsiaTheme="minorEastAsia"/>
          <w:sz w:val="32"/>
          <w:szCs w:val="32"/>
          <w:lang w:val="en-US" w:eastAsia="zh-CN"/>
        </w:rPr>
        <w:t>9.63</w:t>
      </w:r>
      <w:r>
        <w:rPr>
          <w:rFonts w:hint="eastAsia" w:asciiTheme="minorEastAsia" w:hAnsiTheme="minorEastAsia" w:eastAsiaTheme="minorEastAsia"/>
          <w:sz w:val="32"/>
          <w:szCs w:val="32"/>
        </w:rPr>
        <w:t>%。主要</w:t>
      </w:r>
      <w:r>
        <w:rPr>
          <w:rFonts w:hint="eastAsia" w:asciiTheme="minorEastAsia" w:hAnsiTheme="minorEastAsia" w:eastAsiaTheme="minorEastAsia"/>
          <w:sz w:val="32"/>
          <w:szCs w:val="32"/>
          <w:lang w:val="en-US" w:eastAsia="zh-CN"/>
        </w:rPr>
        <w:t>是因为</w:t>
      </w:r>
      <w:r>
        <w:rPr>
          <w:rFonts w:hint="eastAsia" w:asciiTheme="minorEastAsia" w:hAnsiTheme="minorEastAsia" w:eastAsiaTheme="minorEastAsia"/>
          <w:sz w:val="32"/>
          <w:szCs w:val="32"/>
        </w:rPr>
        <w:t>：人员调离，财政拨款减少。</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二</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rPr>
        <w:t>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266.56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266.56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三</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rPr>
        <w:t>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265.49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152.59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57.47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112.9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42.53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int="eastAsia" w:asciiTheme="minorEastAsia" w:hAnsiTheme="minorEastAsia" w:eastAsiaTheme="minorEastAsia"/>
          <w:sz w:val="32"/>
          <w:szCs w:val="32"/>
          <w:lang w:eastAsia="zh-CN"/>
        </w:rPr>
      </w:pP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lang w:val="en-US" w:eastAsia="zh-CN"/>
        </w:rPr>
        <w:t>四</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b/>
          <w:sz w:val="32"/>
          <w:szCs w:val="32"/>
        </w:rPr>
        <w:t>财政拨款收入支出决算总体情况说明</w:t>
      </w:r>
    </w:p>
    <w:p>
      <w:pPr>
        <w:pStyle w:val="12"/>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2019年度财政拨款收、支总计</w:t>
      </w:r>
      <w:r>
        <w:rPr>
          <w:rFonts w:hint="eastAsia" w:asciiTheme="minorEastAsia" w:hAnsiTheme="minorEastAsia" w:eastAsiaTheme="minorEastAsia"/>
          <w:sz w:val="32"/>
          <w:szCs w:val="32"/>
          <w:lang w:val="en-US" w:eastAsia="zh-CN"/>
        </w:rPr>
        <w:t>266.56</w:t>
      </w:r>
      <w:r>
        <w:rPr>
          <w:rFonts w:hint="eastAsia" w:asciiTheme="minorEastAsia" w:hAnsiTheme="minorEastAsia" w:eastAsiaTheme="minorEastAsia"/>
          <w:sz w:val="32"/>
          <w:szCs w:val="32"/>
        </w:rPr>
        <w:t>万元，与2018年相比，减少</w:t>
      </w:r>
      <w:r>
        <w:rPr>
          <w:rFonts w:hint="eastAsia" w:asciiTheme="minorEastAsia" w:hAnsiTheme="minorEastAsia" w:eastAsiaTheme="minorEastAsia"/>
          <w:sz w:val="32"/>
          <w:szCs w:val="32"/>
          <w:lang w:val="en-US" w:eastAsia="zh-CN"/>
        </w:rPr>
        <w:t>29.18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9.87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人员调离，财政拨款减少。</w:t>
      </w:r>
    </w:p>
    <w:p>
      <w:pPr>
        <w:pStyle w:val="12"/>
        <w:numPr>
          <w:ilvl w:val="0"/>
          <w:numId w:val="3"/>
        </w:numPr>
        <w:outlineLvl w:val="1"/>
        <w:rPr>
          <w:rFonts w:hint="eastAsia" w:hAnsi="黑体"/>
          <w:b/>
          <w:sz w:val="32"/>
          <w:szCs w:val="32"/>
        </w:rPr>
      </w:pPr>
      <w:r>
        <w:rPr>
          <w:rFonts w:hint="eastAsia" w:hAnsi="黑体"/>
          <w:b/>
          <w:sz w:val="32"/>
          <w:szCs w:val="32"/>
        </w:rPr>
        <w:t>一般公共预算财政拨款支出决算情况说明</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265.49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%，与2018年相比，财政拨款支出减少</w:t>
      </w:r>
      <w:r>
        <w:rPr>
          <w:rFonts w:hint="eastAsia" w:asciiTheme="minorEastAsia" w:hAnsiTheme="minorEastAsia" w:eastAsiaTheme="minorEastAsia"/>
          <w:sz w:val="32"/>
          <w:szCs w:val="32"/>
          <w:lang w:val="en-US" w:eastAsia="zh-CN"/>
        </w:rPr>
        <w:t>30.25</w:t>
      </w:r>
      <w:r>
        <w:rPr>
          <w:rFonts w:hint="eastAsia" w:asciiTheme="minorEastAsia" w:hAnsiTheme="minorEastAsia" w:eastAsiaTheme="minorEastAsia"/>
          <w:sz w:val="32"/>
          <w:szCs w:val="32"/>
        </w:rPr>
        <w:t>万元，增减少</w:t>
      </w:r>
      <w:r>
        <w:rPr>
          <w:rFonts w:hint="eastAsia" w:asciiTheme="minorEastAsia" w:hAnsiTheme="minorEastAsia" w:eastAsiaTheme="minorEastAsia"/>
          <w:sz w:val="32"/>
          <w:szCs w:val="32"/>
          <w:lang w:val="en-US" w:eastAsia="zh-CN"/>
        </w:rPr>
        <w:t>10.23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严格贯彻落实“过紧日子”要求，压缩一般性公用支出。</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w:t>
      </w:r>
      <w:r>
        <w:rPr>
          <w:rFonts w:hint="eastAsia" w:asciiTheme="minorEastAsia" w:hAnsiTheme="minorEastAsia" w:eastAsiaTheme="minorEastAsia"/>
          <w:sz w:val="32"/>
          <w:szCs w:val="32"/>
          <w:lang w:val="en-US" w:eastAsia="zh-CN"/>
        </w:rPr>
        <w:t>265.49</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224.8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84.67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社会保障和就业支出16.63万元，占6.26%；卫生健康支出14.08万元，占5.3%；住房保障支出9.98万元，占3.76%。</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2019年度财政拨款支出年初预算数为</w:t>
      </w:r>
      <w:r>
        <w:rPr>
          <w:rFonts w:hint="eastAsia" w:asciiTheme="minorEastAsia" w:hAnsiTheme="minorEastAsia" w:eastAsiaTheme="minorEastAsia"/>
          <w:sz w:val="32"/>
          <w:szCs w:val="32"/>
          <w:lang w:val="en-US" w:eastAsia="zh-CN"/>
        </w:rPr>
        <w:t>222.87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266.56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其中：</w:t>
      </w:r>
    </w:p>
    <w:p>
      <w:pPr>
        <w:pStyle w:val="12"/>
        <w:numPr>
          <w:ilvl w:val="0"/>
          <w:numId w:val="4"/>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val="en-US" w:eastAsia="zh-CN"/>
        </w:rPr>
        <w:t>统计信息事务支出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行政运行，</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111.9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111.9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决算数与年初预算数相符。</w:t>
      </w:r>
    </w:p>
    <w:p>
      <w:pPr>
        <w:pStyle w:val="12"/>
        <w:numPr>
          <w:ilvl w:val="0"/>
          <w:numId w:val="4"/>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val="en-US" w:eastAsia="zh-CN"/>
        </w:rPr>
        <w:t>统计信息事务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一般行政管理事务</w:t>
      </w:r>
      <w:r>
        <w:rPr>
          <w:rFonts w:hint="eastAsia" w:asciiTheme="minorEastAsia" w:hAnsiTheme="minorEastAsia" w:eastAsiaTheme="minorEastAsia"/>
          <w:sz w:val="32"/>
          <w:szCs w:val="32"/>
        </w:rPr>
        <w:t>（项）。年初预算为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决算数与年初预算数相符。</w:t>
      </w:r>
    </w:p>
    <w:p>
      <w:pPr>
        <w:pStyle w:val="12"/>
        <w:numPr>
          <w:ilvl w:val="0"/>
          <w:numId w:val="4"/>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val="en-US" w:eastAsia="zh-CN"/>
        </w:rPr>
        <w:t>统计信息事务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专项统计业务。年初预算19万元，支出决算为19万元，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决算数与年初预算数相符。</w:t>
      </w:r>
    </w:p>
    <w:p>
      <w:pPr>
        <w:pStyle w:val="12"/>
        <w:numPr>
          <w:ilvl w:val="0"/>
          <w:numId w:val="4"/>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val="en-US" w:eastAsia="zh-CN"/>
        </w:rPr>
        <w:t>统计信息事务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专项普查活动。年初预算70万元，支出决算70万元，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决算数与年初预算数相符。</w:t>
      </w:r>
    </w:p>
    <w:p>
      <w:pPr>
        <w:pStyle w:val="12"/>
        <w:numPr>
          <w:ilvl w:val="0"/>
          <w:numId w:val="4"/>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一般公共服务（类）</w:t>
      </w:r>
      <w:r>
        <w:rPr>
          <w:rFonts w:hint="eastAsia" w:asciiTheme="minorEastAsia" w:hAnsiTheme="minorEastAsia" w:eastAsiaTheme="minorEastAsia"/>
          <w:sz w:val="32"/>
          <w:szCs w:val="32"/>
          <w:lang w:val="en-US" w:eastAsia="zh-CN"/>
        </w:rPr>
        <w:t>统计信息事务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val="en-US" w:eastAsia="zh-CN"/>
        </w:rPr>
        <w:t>统计抽样调查，年初预算18.9万元，支出决算18.9万元，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决算数与年初预算数相符。</w:t>
      </w:r>
    </w:p>
    <w:p>
      <w:pPr>
        <w:pStyle w:val="12"/>
        <w:numPr>
          <w:ilvl w:val="0"/>
          <w:numId w:val="4"/>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社会保障和就业支出机关事业事业单位基本养老保险缴费，年初预算16.63万元，支出决算16.63万元，</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决算数与年初预算数相符。</w:t>
      </w:r>
    </w:p>
    <w:p>
      <w:pPr>
        <w:pStyle w:val="12"/>
        <w:numPr>
          <w:ilvl w:val="0"/>
          <w:numId w:val="4"/>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卫生健康支出行政单位医疗，年初预算14.08万元，支出决算14.08万元，完成年初</w:t>
      </w:r>
      <w:r>
        <w:rPr>
          <w:rFonts w:hint="eastAsia" w:asciiTheme="minorEastAsia" w:hAnsiTheme="minorEastAsia" w:eastAsiaTheme="minorEastAsia"/>
          <w:sz w:val="32"/>
          <w:szCs w:val="32"/>
        </w:rPr>
        <w:t>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决算数与年初预算数相符。</w:t>
      </w:r>
    </w:p>
    <w:p>
      <w:pPr>
        <w:pStyle w:val="12"/>
        <w:numPr>
          <w:ilvl w:val="0"/>
          <w:numId w:val="4"/>
        </w:numPr>
        <w:ind w:left="0" w:leftChars="0"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住房保障支出住房公积金，年初预算9.98万元，支出决算9.98万元，完成年初</w:t>
      </w:r>
      <w:r>
        <w:rPr>
          <w:rFonts w:hint="eastAsia" w:asciiTheme="minorEastAsia" w:hAnsiTheme="minorEastAsia" w:eastAsiaTheme="minorEastAsia"/>
          <w:sz w:val="32"/>
          <w:szCs w:val="32"/>
        </w:rPr>
        <w:t>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决算数与年初预算数相符。</w:t>
      </w:r>
    </w:p>
    <w:p>
      <w:pPr>
        <w:pStyle w:val="12"/>
        <w:outlineLvl w:val="1"/>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2019年度财政拨款基本支出</w:t>
      </w:r>
      <w:r>
        <w:rPr>
          <w:rFonts w:hint="eastAsia" w:asciiTheme="minorEastAsia" w:hAnsiTheme="minorEastAsia" w:eastAsiaTheme="minorEastAsia"/>
          <w:sz w:val="32"/>
          <w:szCs w:val="32"/>
          <w:lang w:val="en-US" w:eastAsia="zh-CN"/>
        </w:rPr>
        <w:t>152.59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135.9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89.06</w:t>
      </w:r>
      <w:r>
        <w:rPr>
          <w:rFonts w:hint="eastAsia" w:asciiTheme="minorEastAsia" w:hAnsiTheme="minorEastAsia" w:eastAsiaTheme="minorEastAsia"/>
          <w:sz w:val="32"/>
          <w:szCs w:val="32"/>
        </w:rPr>
        <w:t>%,主要包括基本工资、津贴补贴、奖金、伙食补</w:t>
      </w:r>
      <w:r>
        <w:rPr>
          <w:rFonts w:hint="eastAsia" w:asciiTheme="minorEastAsia" w:hAnsiTheme="minorEastAsia" w:eastAsiaTheme="minorEastAsia"/>
          <w:sz w:val="32"/>
          <w:szCs w:val="32"/>
          <w:lang w:val="en-US" w:eastAsia="zh-CN"/>
        </w:rPr>
        <w:t>助费等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16.7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10.94</w:t>
      </w:r>
      <w:r>
        <w:rPr>
          <w:rFonts w:hint="eastAsia" w:asciiTheme="minorEastAsia" w:hAnsiTheme="minorEastAsia" w:eastAsiaTheme="minorEastAsia"/>
          <w:sz w:val="32"/>
          <w:szCs w:val="32"/>
        </w:rPr>
        <w:t>%，主要包括办公费、印刷费、咨询费、</w:t>
      </w:r>
      <w:r>
        <w:rPr>
          <w:rFonts w:hint="eastAsia" w:asciiTheme="minorEastAsia" w:hAnsiTheme="minorEastAsia" w:eastAsiaTheme="minorEastAsia"/>
          <w:sz w:val="32"/>
          <w:szCs w:val="32"/>
          <w:lang w:val="en-US" w:eastAsia="zh-CN"/>
        </w:rPr>
        <w:t>其他商品服务等</w:t>
      </w:r>
      <w:r>
        <w:rPr>
          <w:rFonts w:hint="eastAsia" w:asciiTheme="minorEastAsia" w:hAnsiTheme="minorEastAsia" w:eastAsiaTheme="minorEastAsia"/>
          <w:sz w:val="32"/>
          <w:szCs w:val="32"/>
        </w:rPr>
        <w:t>。</w:t>
      </w:r>
    </w:p>
    <w:p>
      <w:pPr>
        <w:pStyle w:val="12"/>
        <w:outlineLvl w:val="1"/>
        <w:rPr>
          <w:rFonts w:hAnsi="黑体"/>
          <w:b/>
          <w:sz w:val="32"/>
          <w:szCs w:val="32"/>
        </w:rPr>
      </w:pPr>
      <w:r>
        <w:rPr>
          <w:rFonts w:hint="eastAsia" w:hAnsi="黑体"/>
          <w:b/>
          <w:sz w:val="32"/>
          <w:szCs w:val="32"/>
        </w:rPr>
        <w:t>七、一般公共预算财政拨款三公经费支出决算情况说明</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决算数与预算数相等。与上年相比增加0.06万元，增长4.84%。增长的主要原因是19为经普年，接待稍微有所增加。</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等于</w:t>
      </w: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与上年相比减少（增加）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ind w:firstLine="643" w:firstLineChars="200"/>
        <w:textAlignment w:val="auto"/>
        <w:outlineLvl w:val="2"/>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2019年度“三公”经费财政拨款支出决算中，公务接待费支出决算</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占0%。</w:t>
      </w:r>
      <w:r>
        <w:rPr>
          <w:rFonts w:hint="eastAsia" w:asciiTheme="minorEastAsia" w:hAnsiTheme="minorEastAsia" w:eastAsiaTheme="minorEastAsia"/>
          <w:sz w:val="32"/>
          <w:szCs w:val="32"/>
        </w:rPr>
        <w:t>其中：</w:t>
      </w:r>
    </w:p>
    <w:p>
      <w:pPr>
        <w:pStyle w:val="12"/>
        <w:numPr>
          <w:ilvl w:val="0"/>
          <w:numId w:val="5"/>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2"/>
        <w:numPr>
          <w:ilvl w:val="0"/>
          <w:numId w:val="0"/>
        </w:num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150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经济普查迎检</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sz w:val="32"/>
          <w:szCs w:val="32"/>
          <w:lang w:eastAsia="zh-CN"/>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截止</w:t>
      </w:r>
      <w:r>
        <w:rPr>
          <w:rFonts w:hint="eastAsia" w:asciiTheme="minorEastAsia" w:hAnsiTheme="minorEastAsia"/>
          <w:sz w:val="32"/>
          <w:szCs w:val="32"/>
        </w:rPr>
        <w:t>2019年12月31日，我单位开支财政拨款的公务用车保有量为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2"/>
        <w:outlineLvl w:val="1"/>
        <w:rPr>
          <w:rFonts w:hint="eastAsia" w:hAnsi="黑体"/>
          <w:b/>
          <w:sz w:val="32"/>
          <w:szCs w:val="32"/>
        </w:rPr>
      </w:pPr>
      <w:r>
        <w:rPr>
          <w:rFonts w:hint="eastAsia" w:hAnsi="黑体"/>
          <w:b/>
          <w:sz w:val="32"/>
          <w:szCs w:val="32"/>
        </w:rPr>
        <w:t>八、政府性基金预算收入支出决算情况</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2019年度政府性基金预算财政拨款收入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bookmarkStart w:id="0" w:name="_GoBack"/>
      <w:bookmarkEnd w:id="0"/>
      <w:r>
        <w:rPr>
          <w:rFonts w:hint="eastAsia" w:asciiTheme="minorEastAsia" w:hAnsiTheme="minorEastAsia" w:eastAsiaTheme="minorEastAsia"/>
          <w:sz w:val="32"/>
          <w:szCs w:val="32"/>
        </w:rPr>
        <w:t>万元。</w:t>
      </w:r>
    </w:p>
    <w:p>
      <w:pPr>
        <w:pStyle w:val="12"/>
        <w:numPr>
          <w:ilvl w:val="0"/>
          <w:numId w:val="6"/>
        </w:numPr>
        <w:outlineLvl w:val="1"/>
        <w:rPr>
          <w:rFonts w:hint="eastAsia" w:hAnsi="黑体"/>
          <w:b/>
          <w:sz w:val="32"/>
          <w:szCs w:val="32"/>
        </w:rPr>
      </w:pPr>
      <w:r>
        <w:rPr>
          <w:rFonts w:hint="eastAsia" w:hAnsi="黑体"/>
          <w:b/>
          <w:sz w:val="32"/>
          <w:szCs w:val="32"/>
        </w:rPr>
        <w:t>关于2019年度预算绩效情况说明</w:t>
      </w:r>
    </w:p>
    <w:p>
      <w:pPr>
        <w:pStyle w:val="12"/>
        <w:numPr>
          <w:ilvl w:val="0"/>
          <w:numId w:val="0"/>
        </w:numPr>
        <w:outlineLvl w:val="1"/>
        <w:rPr>
          <w:rFonts w:hint="eastAsia" w:asciiTheme="minorEastAsia" w:hAnsiTheme="minorEastAsia" w:eastAsiaTheme="minorEastAsia"/>
          <w:sz w:val="32"/>
          <w:szCs w:val="32"/>
          <w:lang w:val="en-US" w:eastAsia="zh-CN"/>
        </w:rPr>
      </w:pP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Theme="minorEastAsia" w:hAnsiTheme="minorEastAsia" w:eastAsiaTheme="minorEastAsia"/>
          <w:sz w:val="32"/>
          <w:szCs w:val="32"/>
          <w:lang w:val="en-US" w:eastAsia="zh-CN"/>
        </w:rPr>
        <w:t>2019年度已对部门预算整体支出进行了绩效评价，根据部门整体支出绩效评价指标确定的内容，经评价组综合评价，我局2019年度整体支出绩效评为“优良”。</w:t>
      </w:r>
    </w:p>
    <w:p>
      <w:pPr>
        <w:pStyle w:val="12"/>
        <w:outlineLvl w:val="1"/>
        <w:rPr>
          <w:rFonts w:hAnsi="黑体"/>
          <w:b/>
          <w:sz w:val="32"/>
          <w:szCs w:val="32"/>
        </w:rPr>
      </w:pPr>
      <w:r>
        <w:rPr>
          <w:rFonts w:hint="eastAsia" w:hAnsi="黑体"/>
          <w:b/>
          <w:sz w:val="32"/>
          <w:szCs w:val="32"/>
        </w:rPr>
        <w:t>十、其他重要事项情况说明</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16.7</w:t>
      </w:r>
      <w:r>
        <w:rPr>
          <w:rFonts w:hint="eastAsia" w:cs="黑体" w:asciiTheme="minorEastAsia" w:hAnsiTheme="minorEastAsia"/>
          <w:color w:val="000000"/>
          <w:kern w:val="0"/>
          <w:sz w:val="32"/>
          <w:szCs w:val="32"/>
        </w:rPr>
        <w:t>万元，比年初预算数增加（减少）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万元，增长（降低）</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p>
    <w:p>
      <w:pPr>
        <w:ind w:firstLine="643" w:firstLineChars="200"/>
        <w:outlineLvl w:val="2"/>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2019年本部门开支会议费</w:t>
      </w:r>
      <w:r>
        <w:rPr>
          <w:rFonts w:hint="eastAsia" w:cs="黑体" w:asciiTheme="minorEastAsia" w:hAnsiTheme="minorEastAsia"/>
          <w:color w:val="000000"/>
          <w:kern w:val="0"/>
          <w:sz w:val="32"/>
          <w:szCs w:val="32"/>
          <w:lang w:val="en-US" w:eastAsia="zh-CN"/>
        </w:rPr>
        <w:t>11.07</w:t>
      </w:r>
      <w:r>
        <w:rPr>
          <w:rFonts w:hint="eastAsia" w:cs="黑体" w:asciiTheme="minorEastAsia" w:hAnsiTheme="minorEastAsia"/>
          <w:color w:val="000000"/>
          <w:kern w:val="0"/>
          <w:sz w:val="32"/>
          <w:szCs w:val="32"/>
        </w:rPr>
        <w:t>万元，用于召开</w:t>
      </w:r>
      <w:r>
        <w:rPr>
          <w:rFonts w:hint="eastAsia" w:cs="黑体" w:asciiTheme="minorEastAsia" w:hAnsiTheme="minorEastAsia"/>
          <w:color w:val="000000"/>
          <w:kern w:val="0"/>
          <w:sz w:val="32"/>
          <w:szCs w:val="32"/>
          <w:lang w:val="en-US" w:eastAsia="zh-CN"/>
        </w:rPr>
        <w:t>统计专项及大型普查活动</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val="en-US" w:eastAsia="zh-CN"/>
        </w:rPr>
        <w:t>100人</w:t>
      </w:r>
      <w:r>
        <w:rPr>
          <w:rFonts w:hint="eastAsia" w:cs="黑体" w:asciiTheme="minorEastAsia" w:hAnsiTheme="minorEastAsia"/>
          <w:color w:val="000000"/>
          <w:kern w:val="0"/>
          <w:sz w:val="32"/>
          <w:szCs w:val="32"/>
        </w:rPr>
        <w:t>，内容为</w:t>
      </w:r>
      <w:r>
        <w:rPr>
          <w:rFonts w:hint="eastAsia" w:cs="黑体" w:asciiTheme="minorEastAsia" w:hAnsiTheme="minorEastAsia"/>
          <w:color w:val="000000"/>
          <w:kern w:val="0"/>
          <w:sz w:val="32"/>
          <w:szCs w:val="32"/>
          <w:lang w:val="en-US" w:eastAsia="zh-CN"/>
        </w:rPr>
        <w:t>专业统计报表、经济普查</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9.15</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val="en-US" w:eastAsia="zh-CN"/>
        </w:rPr>
        <w:t>经济普查业务</w:t>
      </w:r>
      <w:r>
        <w:rPr>
          <w:rFonts w:hint="eastAsia" w:cs="黑体" w:asciiTheme="minorEastAsia" w:hAnsiTheme="minorEastAsia"/>
          <w:color w:val="000000"/>
          <w:kern w:val="0"/>
          <w:sz w:val="32"/>
          <w:szCs w:val="32"/>
        </w:rPr>
        <w:t>培训，人数</w:t>
      </w:r>
      <w:r>
        <w:rPr>
          <w:rFonts w:hint="eastAsia" w:cs="黑体" w:asciiTheme="minorEastAsia" w:hAnsiTheme="minorEastAsia"/>
          <w:color w:val="000000"/>
          <w:kern w:val="0"/>
          <w:sz w:val="32"/>
          <w:szCs w:val="32"/>
          <w:lang w:val="en-US" w:eastAsia="zh-CN"/>
        </w:rPr>
        <w:t>200</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val="en-US" w:eastAsia="zh-CN"/>
        </w:rPr>
        <w:t>PAD操作及业务培训</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没有</w:t>
      </w:r>
      <w:r>
        <w:rPr>
          <w:rFonts w:hint="eastAsia" w:cs="黑体" w:asciiTheme="minorEastAsia" w:hAnsiTheme="minorEastAsia"/>
          <w:color w:val="000000"/>
          <w:kern w:val="0"/>
          <w:sz w:val="32"/>
          <w:szCs w:val="32"/>
        </w:rPr>
        <w:t>举办节庆、晚会、论坛、赛事</w:t>
      </w:r>
      <w:r>
        <w:rPr>
          <w:rFonts w:hint="eastAsia" w:cs="黑体" w:asciiTheme="minorEastAsia" w:hAnsiTheme="minorEastAsia"/>
          <w:color w:val="000000"/>
          <w:kern w:val="0"/>
          <w:sz w:val="32"/>
          <w:szCs w:val="32"/>
          <w:lang w:val="en-US" w:eastAsia="zh-CN"/>
        </w:rPr>
        <w:t>等</w:t>
      </w:r>
      <w:r>
        <w:rPr>
          <w:rFonts w:hint="eastAsia" w:cs="黑体" w:asciiTheme="minorEastAsia" w:hAnsiTheme="minorEastAsia"/>
          <w:color w:val="000000"/>
          <w:kern w:val="0"/>
          <w:sz w:val="32"/>
          <w:szCs w:val="32"/>
        </w:rPr>
        <w:t>活动，开支</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w:t>
      </w:r>
    </w:p>
    <w:p>
      <w:pPr>
        <w:numPr>
          <w:ilvl w:val="0"/>
          <w:numId w:val="7"/>
        </w:numPr>
        <w:ind w:firstLine="643" w:firstLineChars="200"/>
        <w:outlineLvl w:val="2"/>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政府采购支出情况</w:t>
      </w:r>
    </w:p>
    <w:p>
      <w:pPr>
        <w:numPr>
          <w:ilvl w:val="0"/>
          <w:numId w:val="0"/>
        </w:numPr>
        <w:outlineLvl w:val="2"/>
        <w:rPr>
          <w:rFonts w:hint="default" w:cs="黑体" w:asciiTheme="minorEastAsia" w:hAnsiTheme="minorEastAsia"/>
          <w:color w:val="000000"/>
          <w:kern w:val="0"/>
          <w:sz w:val="32"/>
          <w:szCs w:val="32"/>
          <w:lang w:val="en-US" w:eastAsia="zh-CN"/>
        </w:rPr>
      </w:pPr>
      <w:r>
        <w:rPr>
          <w:rFonts w:hint="eastAsia" w:cs="黑体" w:asciiTheme="minorEastAsia" w:hAnsiTheme="minorEastAsia"/>
          <w:b/>
          <w:color w:val="000000"/>
          <w:kern w:val="0"/>
          <w:sz w:val="32"/>
          <w:szCs w:val="32"/>
          <w:lang w:val="en-US" w:eastAsia="zh-CN"/>
        </w:rPr>
        <w:t xml:space="preserve">    </w:t>
      </w: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w:t>
      </w:r>
    </w:p>
    <w:p>
      <w:pPr>
        <w:ind w:firstLine="482" w:firstLineChars="150"/>
        <w:outlineLvl w:val="2"/>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截至2019年12月31日，本单位共有车辆</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辆，其中，领导干部用车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辆、机要通信用车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辆、应急保障用车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辆、执法执勤用车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辆、特种专业技术用车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辆、其他用车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辆；单位价值50万元以上通用设备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pStyle w:val="12"/>
        <w:jc w:val="both"/>
        <w:outlineLvl w:val="0"/>
        <w:rPr>
          <w:rFonts w:ascii="黑体" w:eastAsia="黑体" w:cs="黑体"/>
          <w:color w:val="000000"/>
          <w:kern w:val="0"/>
          <w:sz w:val="44"/>
          <w:szCs w:val="44"/>
        </w:rPr>
      </w:pPr>
      <w:r>
        <w:rPr>
          <w:rFonts w:hint="eastAsia"/>
          <w:sz w:val="44"/>
          <w:szCs w:val="44"/>
        </w:rPr>
        <w:t>第四部分</w:t>
      </w:r>
      <w:r>
        <w:rPr>
          <w:rFonts w:hint="eastAsia" w:ascii="黑体" w:eastAsia="黑体" w:cs="黑体"/>
          <w:color w:val="000000"/>
          <w:kern w:val="0"/>
          <w:sz w:val="44"/>
          <w:szCs w:val="44"/>
        </w:rPr>
        <w:t>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r>
        <w:rPr>
          <w:rFonts w:ascii="仿宋" w:hAnsi="仿宋" w:eastAsia="仿宋" w:cs="仿宋"/>
          <w:b/>
          <w:color w:val="FF0000"/>
          <w:sz w:val="32"/>
        </w:rPr>
        <w:t>（单位特有的名称解释，请自行添加）</w:t>
      </w:r>
    </w:p>
    <w:p>
      <w:pPr>
        <w:ind w:firstLine="643"/>
        <w:jc w:val="left"/>
        <w:rPr>
          <w:rFonts w:ascii="仿宋" w:hAnsi="仿宋" w:eastAsia="仿宋" w:cs="仿宋"/>
          <w:b/>
          <w:color w:val="FF0000"/>
          <w:sz w:val="32"/>
        </w:rPr>
      </w:pPr>
    </w:p>
    <w:p>
      <w:pPr>
        <w:pStyle w:val="12"/>
        <w:jc w:val="both"/>
        <w:outlineLvl w:val="0"/>
        <w:rPr>
          <w:rFonts w:hint="default"/>
          <w:sz w:val="44"/>
          <w:szCs w:val="44"/>
        </w:rPr>
      </w:pPr>
      <w:r>
        <w:rPr>
          <w:rFonts w:hint="eastAsia"/>
          <w:sz w:val="44"/>
          <w:szCs w:val="44"/>
        </w:rPr>
        <w:t>第五部分 附件</w:t>
      </w:r>
    </w:p>
    <w:p>
      <w:pPr>
        <w:widowControl/>
        <w:jc w:val="left"/>
        <w:rPr>
          <w:rFonts w:hint="eastAsia" w:ascii="黑体" w:eastAsia="黑体" w:cs="黑体"/>
          <w:color w:val="000000"/>
          <w:kern w:val="0"/>
          <w:sz w:val="70"/>
          <w:szCs w:val="70"/>
          <w:lang w:eastAsia="zh-CN"/>
        </w:rPr>
      </w:pPr>
      <w:r>
        <w:rPr>
          <w:rFonts w:hint="eastAsia" w:ascii="黑体" w:eastAsia="黑体" w:cs="黑体"/>
          <w:color w:val="000000"/>
          <w:kern w:val="0"/>
          <w:sz w:val="70"/>
          <w:szCs w:val="70"/>
          <w:lang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Office12.Excel.Sheet.12" ShapeID="_x0000_i1025" DrawAspect="Icon" ObjectID="_1468075725" r:id="rId4">
            <o:LockedField>false</o:LockedField>
          </o:OLEObject>
        </w:object>
      </w:r>
    </w:p>
    <w:p>
      <w:pPr>
        <w:pStyle w:val="12"/>
        <w:numPr>
          <w:ilvl w:val="0"/>
          <w:numId w:val="0"/>
        </w:numPr>
        <w:jc w:val="left"/>
        <w:rPr>
          <w:rFonts w:hint="eastAsia"/>
          <w:sz w:val="44"/>
          <w:szCs w:val="44"/>
          <w:lang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3FF76"/>
    <w:multiLevelType w:val="singleLevel"/>
    <w:tmpl w:val="83D3FF76"/>
    <w:lvl w:ilvl="0" w:tentative="0">
      <w:start w:val="2"/>
      <w:numFmt w:val="chineseCounting"/>
      <w:suff w:val="space"/>
      <w:lvlText w:val="第%1部分"/>
      <w:lvlJc w:val="left"/>
      <w:rPr>
        <w:rFonts w:hint="eastAsia"/>
      </w:rPr>
    </w:lvl>
  </w:abstractNum>
  <w:abstractNum w:abstractNumId="1">
    <w:nsid w:val="DD9012AB"/>
    <w:multiLevelType w:val="singleLevel"/>
    <w:tmpl w:val="DD9012AB"/>
    <w:lvl w:ilvl="0" w:tentative="0">
      <w:start w:val="3"/>
      <w:numFmt w:val="chineseCounting"/>
      <w:suff w:val="nothing"/>
      <w:lvlText w:val="（%1）"/>
      <w:lvlJc w:val="left"/>
      <w:rPr>
        <w:rFonts w:hint="eastAsia"/>
      </w:rPr>
    </w:lvl>
  </w:abstractNum>
  <w:abstractNum w:abstractNumId="2">
    <w:nsid w:val="FDEF3585"/>
    <w:multiLevelType w:val="singleLevel"/>
    <w:tmpl w:val="FDEF3585"/>
    <w:lvl w:ilvl="0" w:tentative="0">
      <w:start w:val="5"/>
      <w:numFmt w:val="chineseCounting"/>
      <w:suff w:val="nothing"/>
      <w:lvlText w:val="%1、"/>
      <w:lvlJc w:val="left"/>
      <w:rPr>
        <w:rFonts w:hint="eastAsia"/>
      </w:rPr>
    </w:lvl>
  </w:abstractNum>
  <w:abstractNum w:abstractNumId="3">
    <w:nsid w:val="0924BBA8"/>
    <w:multiLevelType w:val="singleLevel"/>
    <w:tmpl w:val="0924BBA8"/>
    <w:lvl w:ilvl="0" w:tentative="0">
      <w:start w:val="1"/>
      <w:numFmt w:val="decimal"/>
      <w:suff w:val="nothing"/>
      <w:lvlText w:val="%1、"/>
      <w:lvlJc w:val="left"/>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8316846"/>
    <w:multiLevelType w:val="singleLevel"/>
    <w:tmpl w:val="38316846"/>
    <w:lvl w:ilvl="0" w:tentative="0">
      <w:start w:val="9"/>
      <w:numFmt w:val="chineseCounting"/>
      <w:suff w:val="nothing"/>
      <w:lvlText w:val="%1、"/>
      <w:lvlJc w:val="left"/>
      <w:rPr>
        <w:rFonts w:hint="eastAsia"/>
      </w:rPr>
    </w:lvl>
  </w:abstractNum>
  <w:abstractNum w:abstractNumId="6">
    <w:nsid w:val="5CA16FA7"/>
    <w:multiLevelType w:val="singleLevel"/>
    <w:tmpl w:val="5CA16FA7"/>
    <w:lvl w:ilvl="0" w:tentative="0">
      <w:start w:val="1"/>
      <w:numFmt w:val="decimal"/>
      <w:suff w:val="nothing"/>
      <w:lvlText w:val="%1、"/>
      <w:lvlJc w:val="left"/>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E1C2B"/>
    <w:rsid w:val="036E123C"/>
    <w:rsid w:val="03712E2A"/>
    <w:rsid w:val="046F3B17"/>
    <w:rsid w:val="04F233F6"/>
    <w:rsid w:val="05052968"/>
    <w:rsid w:val="053C484C"/>
    <w:rsid w:val="08864F04"/>
    <w:rsid w:val="09E231CB"/>
    <w:rsid w:val="09F10647"/>
    <w:rsid w:val="0D137CB2"/>
    <w:rsid w:val="0F6E1C2B"/>
    <w:rsid w:val="10EB05DD"/>
    <w:rsid w:val="11C426CE"/>
    <w:rsid w:val="14EA1D38"/>
    <w:rsid w:val="182D12CA"/>
    <w:rsid w:val="206D6EE3"/>
    <w:rsid w:val="21B45C15"/>
    <w:rsid w:val="23AB2604"/>
    <w:rsid w:val="27373FE5"/>
    <w:rsid w:val="2B1B6471"/>
    <w:rsid w:val="2C246EED"/>
    <w:rsid w:val="30800151"/>
    <w:rsid w:val="34FF60FC"/>
    <w:rsid w:val="360C0984"/>
    <w:rsid w:val="36313B69"/>
    <w:rsid w:val="36455711"/>
    <w:rsid w:val="38C52D3A"/>
    <w:rsid w:val="3A804E10"/>
    <w:rsid w:val="3CF507C5"/>
    <w:rsid w:val="3E184052"/>
    <w:rsid w:val="411C485A"/>
    <w:rsid w:val="412F4AF0"/>
    <w:rsid w:val="415356CE"/>
    <w:rsid w:val="47922311"/>
    <w:rsid w:val="49100321"/>
    <w:rsid w:val="49D422CD"/>
    <w:rsid w:val="4DC20417"/>
    <w:rsid w:val="4E646EC4"/>
    <w:rsid w:val="4EA115D3"/>
    <w:rsid w:val="4F784BC7"/>
    <w:rsid w:val="51194F31"/>
    <w:rsid w:val="52F24886"/>
    <w:rsid w:val="5525753A"/>
    <w:rsid w:val="5AE11096"/>
    <w:rsid w:val="5D4408FD"/>
    <w:rsid w:val="5F020277"/>
    <w:rsid w:val="62290202"/>
    <w:rsid w:val="64094BC1"/>
    <w:rsid w:val="669205AB"/>
    <w:rsid w:val="66C62089"/>
    <w:rsid w:val="6F0C60E7"/>
    <w:rsid w:val="722D0E25"/>
    <w:rsid w:val="749261B6"/>
    <w:rsid w:val="77931FE8"/>
    <w:rsid w:val="7D882300"/>
    <w:rsid w:val="7F040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黑体" w:asciiTheme="minorAscii" w:hAnsiTheme="minorAscii"/>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cstheme="minorBidi"/>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880" w:firstLineChars="200"/>
      <w:outlineLvl w:val="2"/>
    </w:pPr>
    <w:rPr>
      <w:rFonts w:eastAsia="黑体"/>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outlineLvl w:val="3"/>
    </w:pPr>
    <w:rPr>
      <w:rFonts w:ascii="Arial" w:hAnsi="Arial" w:eastAsia="黑体"/>
    </w:rPr>
  </w:style>
  <w:style w:type="paragraph" w:styleId="6">
    <w:name w:val="heading 5"/>
    <w:basedOn w:val="1"/>
    <w:next w:val="1"/>
    <w:semiHidden/>
    <w:unhideWhenUsed/>
    <w:qFormat/>
    <w:uiPriority w:val="0"/>
    <w:pPr>
      <w:keepNext/>
      <w:keepLines/>
      <w:spacing w:beforeLines="0" w:beforeAutospacing="0" w:afterLines="0" w:afterAutospacing="0" w:line="240" w:lineRule="auto"/>
      <w:ind w:firstLine="0" w:firstLineChars="0"/>
      <w:outlineLvl w:val="4"/>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99"/>
    <w:pPr>
      <w:tabs>
        <w:tab w:val="center" w:pos="4153"/>
        <w:tab w:val="right" w:pos="8306"/>
      </w:tabs>
      <w:snapToGrid w:val="0"/>
      <w:spacing w:beforeLines="0" w:afterLines="0"/>
      <w:jc w:val="left"/>
    </w:pPr>
    <w:rPr>
      <w:rFonts w:hint="eastAsia"/>
      <w:sz w:val="18"/>
    </w:rPr>
  </w:style>
  <w:style w:type="paragraph" w:styleId="8">
    <w:name w:val="header"/>
    <w:basedOn w:val="1"/>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character" w:styleId="11">
    <w:name w:val="Hyperlink"/>
    <w:basedOn w:val="10"/>
    <w:qFormat/>
    <w:uiPriority w:val="0"/>
    <w:rPr>
      <w:color w:val="0000FF"/>
      <w:u w:val="single"/>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2020-09-08T02:51:00Z</dcterms:created>
  <dc:creator>瓜老東童鞋</dc:creator>
  <cp:lastModifiedBy>野菜</cp:lastModifiedBy>
  <dcterms:modified xsi:type="dcterms:W3CDTF">2021-06-21T03:32:22Z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06AFB72B3F3243F39F50F224921F7C7C</vt:lpwstr>
  </property>
</Properties>
</file>