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84"/>
          <w:szCs w:val="84"/>
        </w:rPr>
      </w:pPr>
    </w:p>
    <w:p>
      <w:pPr>
        <w:pStyle w:val="12"/>
        <w:jc w:val="center"/>
        <w:rPr>
          <w:sz w:val="84"/>
          <w:szCs w:val="84"/>
        </w:rPr>
      </w:pPr>
    </w:p>
    <w:p>
      <w:pPr>
        <w:pStyle w:val="12"/>
        <w:jc w:val="center"/>
        <w:rPr>
          <w:sz w:val="84"/>
          <w:szCs w:val="84"/>
        </w:rPr>
      </w:pPr>
      <w:bookmarkStart w:id="0" w:name="_GoBack"/>
      <w:bookmarkEnd w:id="0"/>
    </w:p>
    <w:p>
      <w:pPr>
        <w:pStyle w:val="12"/>
        <w:jc w:val="center"/>
        <w:rPr>
          <w:sz w:val="84"/>
          <w:szCs w:val="84"/>
        </w:rPr>
      </w:pPr>
    </w:p>
    <w:p>
      <w:pPr>
        <w:pStyle w:val="12"/>
        <w:jc w:val="center"/>
        <w:rPr>
          <w:sz w:val="84"/>
          <w:szCs w:val="84"/>
        </w:rPr>
      </w:pPr>
      <w:r>
        <w:rPr>
          <w:rFonts w:hint="eastAsia"/>
          <w:sz w:val="84"/>
          <w:szCs w:val="84"/>
        </w:rPr>
        <w:t>2019年度</w:t>
      </w:r>
      <w:r>
        <w:rPr>
          <w:rFonts w:hint="eastAsia"/>
          <w:sz w:val="84"/>
          <w:szCs w:val="84"/>
          <w:lang w:eastAsia="zh-CN"/>
        </w:rPr>
        <w:t>湖南省</w:t>
      </w:r>
      <w:r>
        <w:rPr>
          <w:rFonts w:hint="eastAsia"/>
          <w:sz w:val="84"/>
          <w:szCs w:val="84"/>
        </w:rPr>
        <w:t>益阳市资阳区教育局部门决算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sz w:val="56"/>
          <w:szCs w:val="56"/>
        </w:rPr>
      </w:pPr>
    </w:p>
    <w:p>
      <w:pPr>
        <w:pStyle w:val="12"/>
        <w:spacing w:line="520" w:lineRule="exact"/>
        <w:jc w:val="center"/>
        <w:rPr>
          <w:sz w:val="56"/>
          <w:szCs w:val="56"/>
        </w:rPr>
      </w:pPr>
      <w:r>
        <w:rPr>
          <w:rFonts w:hint="eastAsia"/>
          <w:sz w:val="56"/>
          <w:szCs w:val="56"/>
        </w:rPr>
        <w:t>目录</w:t>
      </w:r>
    </w:p>
    <w:p>
      <w:pPr>
        <w:pStyle w:val="12"/>
        <w:spacing w:line="520" w:lineRule="exact"/>
        <w:outlineLvl w:val="0"/>
        <w:rPr>
          <w:rFonts w:ascii="仿宋_GB2312" w:hAnsi="仿宋_GB2312" w:cs="仿宋_GB2312"/>
          <w:b/>
          <w:sz w:val="28"/>
          <w:szCs w:val="28"/>
        </w:rPr>
      </w:pPr>
      <w:r>
        <w:rPr>
          <w:rFonts w:hint="eastAsia"/>
          <w:b/>
          <w:sz w:val="28"/>
          <w:szCs w:val="28"/>
        </w:rPr>
        <w:t>第一部分益阳市资阳区教育局概况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2"/>
        <w:outlineLvl w:val="0"/>
        <w:rPr>
          <w:sz w:val="44"/>
          <w:szCs w:val="44"/>
        </w:rPr>
      </w:pPr>
      <w:r>
        <w:rPr>
          <w:rFonts w:hint="eastAsia"/>
          <w:sz w:val="44"/>
          <w:szCs w:val="44"/>
        </w:rPr>
        <w:t>第一部分</w:t>
      </w:r>
      <w:r>
        <w:rPr>
          <w:rFonts w:hint="eastAsia"/>
          <w:sz w:val="44"/>
          <w:szCs w:val="44"/>
          <w:lang w:val="en-US" w:eastAsia="zh-CN"/>
        </w:rPr>
        <w:t xml:space="preserve">  </w:t>
      </w:r>
      <w:r>
        <w:rPr>
          <w:rFonts w:hint="eastAsia"/>
          <w:sz w:val="44"/>
          <w:szCs w:val="44"/>
        </w:rPr>
        <w:t>益阳市资阳区教育局概况</w:t>
      </w:r>
    </w:p>
    <w:p>
      <w:pPr>
        <w:pStyle w:val="13"/>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pPr>
        <w:autoSpaceDE w:val="0"/>
        <w:autoSpaceDN w:val="0"/>
        <w:adjustRightInd w:val="0"/>
        <w:spacing w:line="520" w:lineRule="exact"/>
        <w:ind w:firstLine="800" w:firstLineChars="25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益阳市资阳区教育局位于益阳市资阳西路538号。其主要职能如下：</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1、贯彻执行党和国家的教育方针、政策和法规。</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2、统筹安排全区各类教育的发展规划与规模，合理调整学校布局、学校设置等重大事宜。</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3、负责对学前教育、基础教育、职业技术教育、成人教育等实施宏观指导和综合管理，代表区政府对下级政府和学校工作状况及办学水平进行督导和评估。</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4、负责干部教师培训、教师队伍建设的规划指导。</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5、负责教育体制、办学体制、学校管理体制、城乡教育综合改革的统筹规划和协调指导，参与经、科、教统筹和教育综合改革的实施。</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6、指导教育经费预决算工作，检查监督教育经费的管理使用情况。</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7、指导全区学校思想政治工作，负责各类招生考     试工作，会同有关部门负责师范类大中专毕业生的就业安置工作。</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8、指导、推动教育教学的理念研究和教育科研工作。</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承办区政府交办的其它工作任务。</w:t>
      </w:r>
    </w:p>
    <w:p>
      <w:pPr>
        <w:jc w:val="left"/>
        <w:rPr>
          <w:rFonts w:ascii="仿宋_GB2312" w:eastAsia="仿宋_GB2312" w:hAnsiTheme="minorEastAsia"/>
          <w:sz w:val="28"/>
          <w:szCs w:val="32"/>
        </w:rPr>
      </w:pPr>
    </w:p>
    <w:p>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（一）内设机构设置。局机关内设科室</w:t>
      </w:r>
      <w:r>
        <w:rPr>
          <w:rFonts w:hint="eastAsia" w:cs="黑体" w:asciiTheme="minorEastAsia" w:hAnsiTheme="minorEastAsia"/>
          <w:color w:val="000000"/>
          <w:kern w:val="0"/>
          <w:sz w:val="32"/>
          <w:szCs w:val="32"/>
          <w:lang w:eastAsia="zh-CN"/>
        </w:rPr>
        <w:t>有：</w:t>
      </w:r>
    </w:p>
    <w:p>
      <w:pPr>
        <w:autoSpaceDE w:val="0"/>
        <w:autoSpaceDN w:val="0"/>
        <w:adjustRightInd w:val="0"/>
        <w:spacing w:line="520" w:lineRule="exact"/>
        <w:ind w:firstLine="800" w:firstLineChars="250"/>
        <w:jc w:val="left"/>
        <w:rPr>
          <w:rFonts w:hint="eastAsia" w:eastAsia="宋体" w:cs="Times New Roman" w:asciiTheme="minorEastAsia" w:hAnsiTheme="minorEastAsia"/>
          <w:bCs/>
          <w:kern w:val="0"/>
          <w:sz w:val="32"/>
          <w:szCs w:val="32"/>
          <w:lang w:eastAsia="zh-CN"/>
        </w:rPr>
      </w:pPr>
      <w:r>
        <w:rPr>
          <w:rFonts w:hint="eastAsia" w:eastAsia="宋体" w:cs="Times New Roman" w:asciiTheme="minorEastAsia" w:hAnsiTheme="minorEastAsia"/>
          <w:bCs/>
          <w:kern w:val="0"/>
          <w:sz w:val="32"/>
          <w:szCs w:val="32"/>
          <w:lang w:eastAsia="zh-CN"/>
        </w:rPr>
        <w:t>①办公室（教育信息化管理办公室、教育阳光服务中心）</w:t>
      </w:r>
    </w:p>
    <w:p>
      <w:pPr>
        <w:widowControl/>
        <w:spacing w:line="600" w:lineRule="exact"/>
        <w:ind w:firstLine="640" w:firstLineChars="200"/>
        <w:rPr>
          <w:rFonts w:hint="eastAsia" w:eastAsia="宋体" w:cs="Times New Roman" w:asciiTheme="minorEastAsia" w:hAnsiTheme="minorEastAsia"/>
          <w:bCs/>
          <w:kern w:val="0"/>
          <w:sz w:val="32"/>
          <w:szCs w:val="32"/>
          <w:lang w:eastAsia="zh-CN"/>
        </w:rPr>
      </w:pPr>
      <w:r>
        <w:rPr>
          <w:rFonts w:hint="eastAsia" w:eastAsia="宋体" w:cs="Times New Roman" w:asciiTheme="minorEastAsia" w:hAnsiTheme="minorEastAsia"/>
          <w:bCs/>
          <w:kern w:val="0"/>
          <w:sz w:val="32"/>
          <w:szCs w:val="32"/>
          <w:lang w:eastAsia="zh-CN"/>
        </w:rPr>
        <w:t>②基础教育股（团工委、幼教管理办公室）</w:t>
      </w:r>
    </w:p>
    <w:p>
      <w:pPr>
        <w:widowControl/>
        <w:spacing w:line="600" w:lineRule="exact"/>
        <w:ind w:firstLine="640" w:firstLineChars="200"/>
        <w:rPr>
          <w:rFonts w:hint="eastAsia" w:eastAsia="宋体" w:cs="Times New Roman" w:asciiTheme="minorEastAsia" w:hAnsiTheme="minorEastAsia"/>
          <w:bCs/>
          <w:kern w:val="0"/>
          <w:sz w:val="32"/>
          <w:szCs w:val="32"/>
          <w:lang w:eastAsia="zh-CN"/>
        </w:rPr>
      </w:pPr>
      <w:r>
        <w:rPr>
          <w:rFonts w:hint="eastAsia" w:eastAsia="宋体" w:cs="Times New Roman" w:asciiTheme="minorEastAsia" w:hAnsiTheme="minorEastAsia"/>
          <w:bCs/>
          <w:kern w:val="0"/>
          <w:sz w:val="32"/>
          <w:szCs w:val="32"/>
          <w:lang w:eastAsia="zh-CN"/>
        </w:rPr>
        <w:t>③职业教育与成人教育股（民办教育管理办公室）</w:t>
      </w:r>
    </w:p>
    <w:p>
      <w:pPr>
        <w:widowControl/>
        <w:spacing w:line="600" w:lineRule="exact"/>
        <w:ind w:firstLine="640" w:firstLineChars="200"/>
        <w:rPr>
          <w:rFonts w:hint="eastAsia" w:eastAsia="宋体" w:cs="Times New Roman" w:asciiTheme="minorEastAsia" w:hAnsiTheme="minorEastAsia"/>
          <w:bCs/>
          <w:kern w:val="0"/>
          <w:sz w:val="32"/>
          <w:szCs w:val="32"/>
          <w:lang w:eastAsia="zh-CN"/>
        </w:rPr>
      </w:pPr>
      <w:r>
        <w:rPr>
          <w:rFonts w:hint="eastAsia" w:eastAsia="宋体" w:cs="Times New Roman" w:asciiTheme="minorEastAsia" w:hAnsiTheme="minorEastAsia"/>
          <w:bCs/>
          <w:kern w:val="0"/>
          <w:sz w:val="32"/>
          <w:szCs w:val="32"/>
          <w:lang w:eastAsia="zh-CN"/>
        </w:rPr>
        <w:t>④人事股（教师工作站、党建办公室、关工委、区语言文字工作委员会办公室）</w:t>
      </w:r>
    </w:p>
    <w:p>
      <w:pPr>
        <w:widowControl/>
        <w:spacing w:line="600" w:lineRule="exact"/>
        <w:ind w:firstLine="640" w:firstLineChars="200"/>
        <w:rPr>
          <w:rFonts w:hint="eastAsia" w:eastAsia="宋体" w:cs="Times New Roman" w:asciiTheme="minorEastAsia" w:hAnsiTheme="minorEastAsia"/>
          <w:bCs/>
          <w:kern w:val="0"/>
          <w:sz w:val="32"/>
          <w:szCs w:val="32"/>
          <w:lang w:eastAsia="zh-CN"/>
        </w:rPr>
      </w:pPr>
      <w:r>
        <w:rPr>
          <w:rFonts w:hint="eastAsia" w:eastAsia="宋体" w:cs="Times New Roman" w:asciiTheme="minorEastAsia" w:hAnsiTheme="minorEastAsia"/>
          <w:bCs/>
          <w:kern w:val="0"/>
          <w:sz w:val="32"/>
          <w:szCs w:val="32"/>
          <w:lang w:eastAsia="zh-CN"/>
        </w:rPr>
        <w:t>⑤财务基建股（教育国有资产管理办公室、集中支付中心）</w:t>
      </w:r>
    </w:p>
    <w:p>
      <w:pPr>
        <w:widowControl/>
        <w:spacing w:line="600" w:lineRule="exact"/>
        <w:ind w:firstLine="640" w:firstLineChars="200"/>
        <w:rPr>
          <w:rFonts w:hint="eastAsia" w:eastAsia="宋体" w:cs="Times New Roman" w:asciiTheme="minorEastAsia" w:hAnsiTheme="minorEastAsia"/>
          <w:bCs/>
          <w:kern w:val="0"/>
          <w:sz w:val="32"/>
          <w:szCs w:val="32"/>
          <w:lang w:eastAsia="zh-CN"/>
        </w:rPr>
      </w:pPr>
      <w:r>
        <w:rPr>
          <w:rFonts w:hint="eastAsia" w:eastAsia="宋体" w:cs="Times New Roman" w:asciiTheme="minorEastAsia" w:hAnsiTheme="minorEastAsia"/>
          <w:bCs/>
          <w:kern w:val="0"/>
          <w:sz w:val="32"/>
          <w:szCs w:val="32"/>
          <w:lang w:eastAsia="zh-CN"/>
        </w:rPr>
        <w:t>⑥纪检监察审计股</w:t>
      </w:r>
    </w:p>
    <w:p>
      <w:pPr>
        <w:widowControl/>
        <w:spacing w:line="600" w:lineRule="exact"/>
        <w:ind w:firstLine="640" w:firstLineChars="200"/>
        <w:rPr>
          <w:rFonts w:hint="eastAsia" w:eastAsia="宋体" w:cs="Times New Roman" w:asciiTheme="minorEastAsia" w:hAnsiTheme="minorEastAsia"/>
          <w:bCs/>
          <w:kern w:val="0"/>
          <w:sz w:val="32"/>
          <w:szCs w:val="32"/>
          <w:lang w:eastAsia="zh-CN"/>
        </w:rPr>
      </w:pPr>
      <w:r>
        <w:rPr>
          <w:rFonts w:hint="eastAsia" w:eastAsia="宋体" w:cs="Times New Roman" w:asciiTheme="minorEastAsia" w:hAnsiTheme="minorEastAsia"/>
          <w:bCs/>
          <w:kern w:val="0"/>
          <w:sz w:val="32"/>
          <w:szCs w:val="32"/>
          <w:lang w:eastAsia="zh-CN"/>
        </w:rPr>
        <w:t>⑦安全法制股（区校车管理办公室、审改股）</w:t>
      </w:r>
    </w:p>
    <w:p>
      <w:pPr>
        <w:autoSpaceDE w:val="0"/>
        <w:autoSpaceDN w:val="0"/>
        <w:adjustRightInd w:val="0"/>
        <w:spacing w:line="520" w:lineRule="exact"/>
        <w:ind w:firstLine="800" w:firstLineChars="25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（二）决算单位构成</w:t>
      </w:r>
    </w:p>
    <w:p>
      <w:pPr>
        <w:autoSpaceDE w:val="0"/>
        <w:autoSpaceDN w:val="0"/>
        <w:adjustRightInd w:val="0"/>
        <w:spacing w:line="520" w:lineRule="exact"/>
        <w:ind w:firstLine="800" w:firstLineChars="25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从决算单位构成看，益阳市资阳区教育局部门决算包括：益阳市资阳区教育局本级部门决算。</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p>
    <w:p>
      <w:pPr>
        <w:pStyle w:val="12"/>
        <w:numPr>
          <w:ilvl w:val="0"/>
          <w:numId w:val="2"/>
        </w:numPr>
        <w:outlineLvl w:val="0"/>
        <w:rPr>
          <w:sz w:val="44"/>
          <w:szCs w:val="44"/>
        </w:rPr>
      </w:pPr>
      <w:r>
        <w:rPr>
          <w:rFonts w:hint="eastAsia"/>
          <w:sz w:val="44"/>
          <w:szCs w:val="44"/>
        </w:rPr>
        <w:t>部门决算表（见附表）</w:t>
      </w:r>
    </w:p>
    <w:p>
      <w:pPr>
        <w:pStyle w:val="12"/>
        <w:rPr>
          <w:sz w:val="44"/>
          <w:szCs w:val="44"/>
        </w:rPr>
      </w:pPr>
    </w:p>
    <w:p>
      <w:pPr>
        <w:pStyle w:val="12"/>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2"/>
        <w:outlineLvl w:val="1"/>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 年度收、支总计1150.92万元。与2018年相比，增加92.69万元，增长8.76%，主要是因为教师增资进晋。</w:t>
      </w:r>
    </w:p>
    <w:p>
      <w:pPr>
        <w:pStyle w:val="12"/>
        <w:outlineLvl w:val="1"/>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本年收入合计1150.92万元，其中：财政拨款收入1074.83万元，占93.39%；上级补助收入0万元，占0%；事业收入0万元，占0%；经营收入0万元，占0%；附属单位上缴收入0万元，占0%；其他收入76.09万元，占6.61%。</w:t>
      </w:r>
    </w:p>
    <w:p>
      <w:pPr>
        <w:pStyle w:val="12"/>
        <w:outlineLvl w:val="1"/>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本年支出合计1150.92万元，其中：基本支出1150.92万元，占100%；项目支出0万元，占0%；上缴上级支出0万元，占0%；经营支出0万元，占0%；对附属单位补助支出0万元，占0%。</w:t>
      </w:r>
    </w:p>
    <w:p>
      <w:pPr>
        <w:pStyle w:val="12"/>
        <w:outlineLvl w:val="1"/>
        <w:rPr>
          <w:rFonts w:hAnsi="黑体"/>
          <w:b/>
          <w:sz w:val="32"/>
          <w:szCs w:val="32"/>
        </w:rPr>
      </w:pPr>
      <w:r>
        <w:rPr>
          <w:rFonts w:hint="eastAsia" w:hAnsi="黑体"/>
          <w:b/>
          <w:sz w:val="32"/>
          <w:szCs w:val="32"/>
        </w:rPr>
        <w:t>四、财政拨款收入支出决算总体情况说明</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2019年度财政拨款收、支总计1074.83万元，与2018年相比，增加16.6万元,增长1.57%，主要是因为教师增资进晋。</w:t>
      </w:r>
    </w:p>
    <w:p>
      <w:pPr>
        <w:pStyle w:val="12"/>
        <w:numPr>
          <w:ilvl w:val="0"/>
          <w:numId w:val="3"/>
        </w:numPr>
        <w:outlineLvl w:val="1"/>
        <w:rPr>
          <w:rFonts w:hAnsi="黑体"/>
          <w:b/>
          <w:sz w:val="32"/>
          <w:szCs w:val="32"/>
        </w:rPr>
      </w:pPr>
      <w:r>
        <w:rPr>
          <w:rFonts w:hint="eastAsia" w:hAnsi="黑体"/>
          <w:b/>
          <w:sz w:val="32"/>
          <w:szCs w:val="32"/>
        </w:rPr>
        <w:t>一般公共预算财政拨款支出决算情况说明</w:t>
      </w:r>
    </w:p>
    <w:p>
      <w:pPr>
        <w:pStyle w:val="12"/>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2019年度财政拨款支出1074.83万元，占本年支出合计的93.39%，与2018年相比，财政拨款支出增加16.6万元，增长1.57%，主要是因为教师增资进晋。</w:t>
      </w:r>
    </w:p>
    <w:p>
      <w:pPr>
        <w:pStyle w:val="12"/>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2019年度财政拨款支出1074.83万元，主要用于以下方面：一般公共服务（类）支出4.52万元，占0.42%；教育（类）支出1018.18万元，占94.73%</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社会保障和就业支出45.13万元，占4.20%；卫生健康支出7万元，占0.65%。</w:t>
      </w:r>
    </w:p>
    <w:p>
      <w:pPr>
        <w:pStyle w:val="12"/>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2019年度财政拨款支出年初预算数为1074.83万元，支出决算数为1074.83万元，完成年初预算的100%，其中：</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201</w:t>
      </w:r>
      <w:r>
        <w:rPr>
          <w:rFonts w:hint="eastAsia" w:asciiTheme="minorEastAsia" w:hAnsiTheme="minorEastAsia" w:eastAsiaTheme="minorEastAsia"/>
          <w:sz w:val="32"/>
          <w:szCs w:val="32"/>
          <w:lang w:eastAsia="zh-CN"/>
        </w:rPr>
        <w:t>类）的其他一般公共服务支出（</w:t>
      </w:r>
      <w:r>
        <w:rPr>
          <w:rFonts w:hint="eastAsia" w:asciiTheme="minorEastAsia" w:hAnsiTheme="minorEastAsia" w:eastAsiaTheme="minorEastAsia"/>
          <w:sz w:val="32"/>
          <w:szCs w:val="32"/>
          <w:lang w:val="en-US" w:eastAsia="zh-CN"/>
        </w:rPr>
        <w:t>20199</w:t>
      </w:r>
      <w:r>
        <w:rPr>
          <w:rFonts w:hint="eastAsia" w:asciiTheme="minorEastAsia" w:hAnsiTheme="minorEastAsia" w:eastAsiaTheme="minorEastAsia"/>
          <w:sz w:val="32"/>
          <w:szCs w:val="32"/>
          <w:lang w:eastAsia="zh-CN"/>
        </w:rPr>
        <w:t>款）的其他一般公其服务支出（</w:t>
      </w:r>
      <w:r>
        <w:rPr>
          <w:rFonts w:hint="eastAsia" w:asciiTheme="minorEastAsia" w:hAnsiTheme="minorEastAsia" w:eastAsiaTheme="minorEastAsia"/>
          <w:sz w:val="32"/>
          <w:szCs w:val="32"/>
          <w:lang w:val="en-US" w:eastAsia="zh-CN"/>
        </w:rPr>
        <w:t>2019999</w:t>
      </w:r>
      <w:r>
        <w:rPr>
          <w:rFonts w:hint="eastAsia" w:asciiTheme="minorEastAsia" w:hAnsiTheme="minorEastAsia" w:eastAsiaTheme="minorEastAsia"/>
          <w:sz w:val="32"/>
          <w:szCs w:val="32"/>
          <w:lang w:eastAsia="zh-CN"/>
        </w:rPr>
        <w:t>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年初预算为4.52万元，支出决算为4.52万元，完成年初预算的100%，决算数等于年初预算数。</w:t>
      </w:r>
    </w:p>
    <w:p>
      <w:pPr>
        <w:pStyle w:val="12"/>
        <w:numPr>
          <w:ilvl w:val="0"/>
          <w:numId w:val="4"/>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教育支出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205</w:t>
      </w:r>
      <w:r>
        <w:rPr>
          <w:rFonts w:hint="eastAsia" w:asciiTheme="minorEastAsia" w:hAnsiTheme="minorEastAsia" w:eastAsiaTheme="minorEastAsia"/>
          <w:sz w:val="32"/>
          <w:szCs w:val="32"/>
          <w:lang w:eastAsia="zh-CN"/>
        </w:rPr>
        <w:t>类）的教育管理事务（</w:t>
      </w:r>
      <w:r>
        <w:rPr>
          <w:rFonts w:hint="eastAsia" w:asciiTheme="minorEastAsia" w:hAnsiTheme="minorEastAsia" w:eastAsiaTheme="minorEastAsia"/>
          <w:sz w:val="32"/>
          <w:szCs w:val="32"/>
          <w:lang w:val="en-US" w:eastAsia="zh-CN"/>
        </w:rPr>
        <w:t>20501款）中行政运行（2050101项）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950.96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950.96</w:t>
      </w:r>
      <w:r>
        <w:rPr>
          <w:rFonts w:hint="eastAsia" w:asciiTheme="minorEastAsia" w:hAnsiTheme="minorEastAsia" w:eastAsiaTheme="minorEastAsia"/>
          <w:sz w:val="32"/>
          <w:szCs w:val="32"/>
        </w:rPr>
        <w:t>万元，完成年初预算的100%，决算数等于年初预算数。</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机关服务（2050103项）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67.22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67.22</w:t>
      </w:r>
      <w:r>
        <w:rPr>
          <w:rFonts w:hint="eastAsia" w:asciiTheme="minorEastAsia" w:hAnsiTheme="minorEastAsia" w:eastAsiaTheme="minorEastAsia"/>
          <w:sz w:val="32"/>
          <w:szCs w:val="32"/>
        </w:rPr>
        <w:t>万元，完成年初预算的100%，决算数等于年初预算数。</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3、社会保障和就业支出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208类）的抚恤（20808款）的死亡抚恤（2080801项）。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年初预算为45.13万元，支出决算为45.13万元，完成年初预算的100%，决算数等于年初预算数。</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4、卫生健康支出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210类）的财政对基本医疗保险基金的补助（21012款）的财政对其他基本医疗保险基金的补助（2101299项）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年初预算为7万元，支出决算为7万元，完成年初预算的100%，决算数等于年初预算数。</w:t>
      </w:r>
    </w:p>
    <w:p>
      <w:pPr>
        <w:pStyle w:val="12"/>
        <w:ind w:firstLine="800" w:firstLineChars="250"/>
        <w:rPr>
          <w:rFonts w:hint="eastAsia" w:asciiTheme="minorEastAsia" w:hAnsiTheme="minorEastAsia" w:eastAsiaTheme="minorEastAsia"/>
          <w:sz w:val="32"/>
          <w:szCs w:val="32"/>
        </w:rPr>
      </w:pPr>
    </w:p>
    <w:p>
      <w:pPr>
        <w:pStyle w:val="12"/>
        <w:outlineLvl w:val="1"/>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1074.83万元，其中：人员经费796.88万元，占基本支出的74.14%,主要包括基本工资、津贴补贴、奖金、伙食补助费、绩效工资、机关事业单位基本养老保险缴费、职工基本医疗保险缴费、住房公积金等；公用经费277.95万元，占基本支出的25.86%，主要包括办公费、印刷费、咨询费、手续费专用材料费、委托业务费等。</w:t>
      </w:r>
    </w:p>
    <w:p>
      <w:pPr>
        <w:pStyle w:val="12"/>
        <w:outlineLvl w:val="1"/>
        <w:rPr>
          <w:rFonts w:hAnsi="黑体"/>
          <w:b/>
          <w:sz w:val="32"/>
          <w:szCs w:val="32"/>
        </w:rPr>
      </w:pPr>
      <w:r>
        <w:rPr>
          <w:rFonts w:hint="eastAsia" w:hAnsi="黑体"/>
          <w:b/>
          <w:sz w:val="32"/>
          <w:szCs w:val="32"/>
        </w:rPr>
        <w:t>七、一般公共预算财政拨款三公经费支出决算情况说明</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“三公”经费财政拨款支出预算为2.78万元，支出决算为2.78万元，完成预算的100%，其中：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公务接待费支出预算为0.77万元，支出决算为0.77万元，完成预算的100%，决算数等于年初预算数。</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公务用车购置费及运行维护费支出预算为2万元，支出决算为2万元，完成预算的100%，决算数等于年初预算数，与上年相比增加1.7万元，增加85%,增长的主要原因是公务车2019年使用的月份比2018年</w:t>
      </w:r>
      <w:r>
        <w:rPr>
          <w:rFonts w:hint="eastAsia" w:asciiTheme="minorEastAsia" w:hAnsiTheme="minorEastAsia" w:eastAsiaTheme="minorEastAsia"/>
          <w:sz w:val="32"/>
          <w:szCs w:val="32"/>
          <w:lang w:eastAsia="zh-CN"/>
        </w:rPr>
        <w:t>多</w:t>
      </w:r>
      <w:r>
        <w:rPr>
          <w:rFonts w:hint="eastAsia" w:asciiTheme="minorEastAsia" w:hAnsiTheme="minorEastAsia" w:eastAsiaTheme="minorEastAsia"/>
          <w:sz w:val="32"/>
          <w:szCs w:val="32"/>
        </w:rPr>
        <w:t>。</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2019年度“三公”经费财政拨款支出决算中，公务接待费支出决算0.77万元，占2.80%,因公出国（境）费支出决算0万元，占0%,公务用车购置费及运行维护费支出决算2万元，占72.2%。其中：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2、公务接待费支出决算为0.77万元，全年共接待来访团组2个、来宾30人次，主要是教学与</w:t>
      </w:r>
      <w:r>
        <w:rPr>
          <w:rFonts w:hint="eastAsia" w:asciiTheme="minorEastAsia" w:hAnsiTheme="minorEastAsia" w:eastAsiaTheme="minorEastAsia"/>
          <w:sz w:val="32"/>
          <w:szCs w:val="32"/>
          <w:lang w:eastAsia="zh-CN"/>
        </w:rPr>
        <w:t>教育</w:t>
      </w:r>
      <w:r>
        <w:rPr>
          <w:rFonts w:hint="eastAsia" w:asciiTheme="minorEastAsia" w:hAnsiTheme="minorEastAsia" w:eastAsiaTheme="minorEastAsia"/>
          <w:sz w:val="32"/>
          <w:szCs w:val="32"/>
        </w:rPr>
        <w:t>工作交流发生的接待支出。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3、公务用车购置费及运行维护费支出决算为2万元，其中：公务用车购置费0万元。公务用车运行维护费2万元，主要是油耗与保养支出，截止2019年12月31日，我单位开支财政拨款的公务用车保有量为1辆。</w:t>
      </w:r>
    </w:p>
    <w:p>
      <w:pPr>
        <w:pStyle w:val="12"/>
        <w:outlineLvl w:val="1"/>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2019年度政府性基金预算财政拨款收入0万元；年初结转和结余0万元；支出0万元，其中基本支出0万元，项目支出0万元；年末结转和结余0万元。本单位无政府性基金收支。</w:t>
      </w:r>
    </w:p>
    <w:p>
      <w:pPr>
        <w:pStyle w:val="12"/>
        <w:outlineLvl w:val="1"/>
        <w:rPr>
          <w:rFonts w:hAnsi="黑体"/>
          <w:b/>
          <w:sz w:val="32"/>
          <w:szCs w:val="32"/>
          <w:highlight w:val="none"/>
        </w:rPr>
      </w:pPr>
      <w:r>
        <w:rPr>
          <w:rFonts w:hint="eastAsia" w:hAnsi="黑体"/>
          <w:b/>
          <w:sz w:val="32"/>
          <w:szCs w:val="32"/>
          <w:highlight w:val="none"/>
        </w:rPr>
        <w:t>九、关于2019年度预算绩效情况说明</w:t>
      </w:r>
    </w:p>
    <w:p>
      <w:pPr>
        <w:pStyle w:val="12"/>
        <w:ind w:firstLine="640" w:firstLineChars="200"/>
        <w:outlineLvl w:val="1"/>
        <w:rPr>
          <w:rFonts w:hint="eastAsia" w:asciiTheme="minorEastAsia" w:hAnsiTheme="minorEastAsia" w:eastAsiaTheme="minorEastAsia"/>
          <w:sz w:val="32"/>
          <w:szCs w:val="32"/>
        </w:rPr>
      </w:pPr>
      <w:r>
        <w:rPr>
          <w:rFonts w:hint="eastAsia" w:ascii="仿宋" w:hAnsi="仿宋" w:eastAsia="仿宋" w:cs="宋体"/>
          <w:color w:val="666666"/>
          <w:kern w:val="0"/>
          <w:sz w:val="32"/>
          <w:szCs w:val="32"/>
        </w:rPr>
        <w:t>2</w:t>
      </w:r>
      <w:r>
        <w:rPr>
          <w:rFonts w:hint="eastAsia" w:asciiTheme="minorEastAsia" w:hAnsiTheme="minorEastAsia" w:eastAsiaTheme="minorEastAsia"/>
          <w:sz w:val="32"/>
          <w:szCs w:val="32"/>
        </w:rPr>
        <w:t>019年，本部门按照有关政策文件要求开展预算绩效管理工作，一是加强绩效目标管理。在编制2019年部门预算时，本部门将所有预算资金纳入绩效目标管理，实现了绩效目标与部门预算同步编制、同步申报。二是做好绩效自评。对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年部门整体支出开展了绩效自评，做好了</w:t>
      </w:r>
      <w:r>
        <w:rPr>
          <w:rFonts w:hint="eastAsia" w:asciiTheme="minorEastAsia" w:hAnsiTheme="minorEastAsia" w:eastAsiaTheme="minorEastAsia"/>
          <w:sz w:val="32"/>
          <w:szCs w:val="32"/>
          <w:lang w:eastAsia="zh-CN"/>
        </w:rPr>
        <w:t>教师</w:t>
      </w:r>
      <w:r>
        <w:rPr>
          <w:rFonts w:hint="eastAsia" w:asciiTheme="minorEastAsia" w:hAnsiTheme="minorEastAsia" w:eastAsiaTheme="minorEastAsia"/>
          <w:sz w:val="32"/>
          <w:szCs w:val="32"/>
        </w:rPr>
        <w:t>评审业务、信息化建设、非税票据管理等重点项目绩效管理工作，促进资金合理保障范围，优化支出结构，提高管理水平。</w:t>
      </w:r>
    </w:p>
    <w:p>
      <w:pPr>
        <w:pStyle w:val="12"/>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年度机关运行经费支出950.96万元，比年初预算数增加（减少）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万元，增长（降低）</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2019年本部门开支会议费0万元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开支培训费4.28万元，用于开展业务培训，人数500</w:t>
      </w:r>
      <w:r>
        <w:rPr>
          <w:rFonts w:hint="eastAsia" w:cs="黑体" w:asciiTheme="minorEastAsia" w:hAnsiTheme="minorEastAsia"/>
          <w:color w:val="000000"/>
          <w:kern w:val="0"/>
          <w:sz w:val="32"/>
          <w:szCs w:val="32"/>
          <w:lang w:eastAsia="zh-CN"/>
        </w:rPr>
        <w:t>余</w:t>
      </w:r>
      <w:r>
        <w:rPr>
          <w:rFonts w:hint="eastAsia" w:cs="黑体" w:asciiTheme="minorEastAsia" w:hAnsiTheme="minorEastAsia"/>
          <w:color w:val="000000"/>
          <w:kern w:val="0"/>
          <w:sz w:val="32"/>
          <w:szCs w:val="32"/>
        </w:rPr>
        <w:t>人次，内容为财务人员培训等。</w:t>
      </w:r>
      <w:r>
        <w:rPr>
          <w:rFonts w:cs="黑体" w:asciiTheme="minorEastAsia" w:hAnsiTheme="minorEastAsia"/>
          <w:color w:val="000000"/>
          <w:kern w:val="0"/>
          <w:sz w:val="32"/>
          <w:szCs w:val="32"/>
        </w:rPr>
        <w:t xml:space="preserve"> </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15.17万元，其中：政府采购货物支出15.17万元，占政府采购支出总额的100%、政府采购工程支出0万元、政府采购服务支出0万元。授予中小企业合同金额0万元，占政府采购支出总额的0%，其中：授予小微企业合同金额0万元，占政府采购支出总额的0%。</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1辆，其中，领导干部用车0辆、机要通信用车0辆、应急保障用车0辆、执法执勤用车0辆、特种专业技术用车0辆、其他用车1辆，其他用车主要是公务车，但已移交给区公车办统一管理。单位价值50万元以上通用设备0台（套）；单位价值100万元以上专用设备0台（套）。</w:t>
      </w:r>
    </w:p>
    <w:p>
      <w:pPr>
        <w:ind w:firstLine="640" w:firstLineChars="200"/>
        <w:rPr>
          <w:rFonts w:cs="黑体" w:asciiTheme="minorEastAsia" w:hAnsiTheme="minorEastAsia"/>
          <w:color w:val="000000"/>
          <w:kern w:val="0"/>
          <w:sz w:val="32"/>
          <w:szCs w:val="32"/>
        </w:rPr>
      </w:pPr>
    </w:p>
    <w:p>
      <w:pPr>
        <w:pStyle w:val="12"/>
        <w:jc w:val="both"/>
        <w:outlineLvl w:val="0"/>
        <w:rPr>
          <w:sz w:val="44"/>
          <w:szCs w:val="44"/>
        </w:rPr>
      </w:pPr>
      <w:r>
        <w:rPr>
          <w:rFonts w:hint="eastAsia"/>
          <w:sz w:val="44"/>
          <w:szCs w:val="44"/>
        </w:rPr>
        <w:t>第四部分名词解释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b/>
          <w:color w:val="FF0000"/>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2"/>
        <w:jc w:val="both"/>
        <w:outlineLvl w:val="0"/>
        <w:rPr>
          <w:sz w:val="44"/>
          <w:szCs w:val="44"/>
        </w:rPr>
      </w:pPr>
      <w:r>
        <w:rPr>
          <w:rFonts w:hint="eastAsia"/>
          <w:sz w:val="44"/>
          <w:szCs w:val="44"/>
        </w:rPr>
        <w:t>第五部分 附件</w:t>
      </w:r>
    </w:p>
    <w:p>
      <w:pPr>
        <w:keepNext/>
        <w:keepLines/>
        <w:ind w:firstLine="640"/>
        <w:rPr>
          <w:rFonts w:ascii="仿宋" w:hAnsi="仿宋" w:eastAsia="仿宋"/>
          <w:b/>
          <w:sz w:val="32"/>
          <w:highlight w:val="white"/>
        </w:rPr>
      </w:pPr>
      <w:r>
        <w:rPr>
          <w:rFonts w:hint="eastAsia" w:ascii="仿宋" w:hAnsi="仿宋" w:eastAsia="仿宋"/>
          <w:sz w:val="32"/>
          <w:highlight w:val="white"/>
        </w:rPr>
        <w:t>2019年度益阳市资阳区教育局部门决算公开表格</w:t>
      </w:r>
    </w:p>
    <w:p>
      <w:pPr>
        <w:widowControl/>
        <w:jc w:val="left"/>
        <w:rPr>
          <w:rFonts w:ascii="黑体" w:eastAsia="黑体" w:cs="黑体"/>
          <w:color w:val="000000"/>
          <w:kern w:val="0"/>
          <w:sz w:val="70"/>
          <w:szCs w:val="70"/>
        </w:rPr>
      </w:pPr>
      <w:r>
        <w:fldChar w:fldCharType="begin"/>
      </w:r>
      <w:r>
        <w:instrText xml:space="preserve"> HYPERLINK "2019年度部门决算批复表(教育本级).xls" </w:instrText>
      </w:r>
      <w:r>
        <w:fldChar w:fldCharType="separate"/>
      </w:r>
      <w:r>
        <w:rPr>
          <w:rStyle w:val="11"/>
          <w:rFonts w:hint="eastAsia" w:ascii="黑体" w:eastAsia="黑体" w:cs="黑体"/>
          <w:kern w:val="0"/>
          <w:sz w:val="70"/>
          <w:szCs w:val="70"/>
        </w:rPr>
        <w:t>2019年度部门决算批复表(教育本级).xls</w:t>
      </w:r>
      <w:r>
        <w:rPr>
          <w:rStyle w:val="11"/>
          <w:rFonts w:hint="eastAsia" w:ascii="黑体" w:eastAsia="黑体" w:cs="黑体"/>
          <w:kern w:val="0"/>
          <w:sz w:val="70"/>
          <w:szCs w:val="70"/>
        </w:rPr>
        <w:fldChar w:fldCharType="end"/>
      </w:r>
    </w:p>
    <w:p>
      <w:pPr>
        <w:pStyle w:val="12"/>
        <w:rPr>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F6ABBAE8"/>
    <w:multiLevelType w:val="singleLevel"/>
    <w:tmpl w:val="F6ABBAE8"/>
    <w:lvl w:ilvl="0" w:tentative="0">
      <w:start w:val="2"/>
      <w:numFmt w:val="decimal"/>
      <w:suff w:val="nothing"/>
      <w:lvlText w:val="%1、"/>
      <w:lvlJc w:val="left"/>
    </w:lvl>
  </w:abstractNum>
  <w:abstractNum w:abstractNumId="2">
    <w:nsid w:val="FDEF3585"/>
    <w:multiLevelType w:val="singleLevel"/>
    <w:tmpl w:val="FDEF3585"/>
    <w:lvl w:ilvl="0" w:tentative="0">
      <w:start w:val="5"/>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F6E1C2B"/>
    <w:rsid w:val="000629DC"/>
    <w:rsid w:val="00097F2D"/>
    <w:rsid w:val="00111812"/>
    <w:rsid w:val="00170A8F"/>
    <w:rsid w:val="003F5031"/>
    <w:rsid w:val="00A85420"/>
    <w:rsid w:val="00BB6463"/>
    <w:rsid w:val="00CA7FF4"/>
    <w:rsid w:val="00FB200F"/>
    <w:rsid w:val="00FF4B4E"/>
    <w:rsid w:val="036E123C"/>
    <w:rsid w:val="042456BC"/>
    <w:rsid w:val="04F233F6"/>
    <w:rsid w:val="06DF6BD9"/>
    <w:rsid w:val="08864F04"/>
    <w:rsid w:val="0B2B4DC2"/>
    <w:rsid w:val="0D137CB2"/>
    <w:rsid w:val="0F6E1C2B"/>
    <w:rsid w:val="10E82C5F"/>
    <w:rsid w:val="121D38FA"/>
    <w:rsid w:val="143C338B"/>
    <w:rsid w:val="1705030C"/>
    <w:rsid w:val="206D6EE3"/>
    <w:rsid w:val="27373FE5"/>
    <w:rsid w:val="36313B69"/>
    <w:rsid w:val="378C3C0B"/>
    <w:rsid w:val="39194DDA"/>
    <w:rsid w:val="3A804E10"/>
    <w:rsid w:val="3B6C659F"/>
    <w:rsid w:val="3CF507C5"/>
    <w:rsid w:val="3F9D18AE"/>
    <w:rsid w:val="415356CE"/>
    <w:rsid w:val="47922311"/>
    <w:rsid w:val="49100321"/>
    <w:rsid w:val="4E646EC4"/>
    <w:rsid w:val="4F784BC7"/>
    <w:rsid w:val="51194F31"/>
    <w:rsid w:val="5AE11096"/>
    <w:rsid w:val="5F020277"/>
    <w:rsid w:val="626054ED"/>
    <w:rsid w:val="66E45BEA"/>
    <w:rsid w:val="67402795"/>
    <w:rsid w:val="749261B6"/>
    <w:rsid w:val="77931FE8"/>
    <w:rsid w:val="7A8E43D0"/>
    <w:rsid w:val="7D882300"/>
    <w:rsid w:val="7E635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rFonts w:eastAsia="黑体"/>
      <w:b/>
      <w:kern w:val="44"/>
      <w:sz w:val="32"/>
    </w:rPr>
  </w:style>
  <w:style w:type="paragraph" w:styleId="3">
    <w:name w:val="heading 2"/>
    <w:basedOn w:val="1"/>
    <w:next w:val="1"/>
    <w:semiHidden/>
    <w:unhideWhenUsed/>
    <w:qFormat/>
    <w:uiPriority w:val="0"/>
    <w:pPr>
      <w:keepNext/>
      <w:keepLines/>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ind w:firstLine="880" w:firstLineChars="200"/>
      <w:outlineLvl w:val="2"/>
    </w:pPr>
    <w:rPr>
      <w:rFonts w:eastAsia="黑体"/>
    </w:rPr>
  </w:style>
  <w:style w:type="paragraph" w:styleId="5">
    <w:name w:val="heading 4"/>
    <w:basedOn w:val="1"/>
    <w:next w:val="1"/>
    <w:semiHidden/>
    <w:unhideWhenUsed/>
    <w:qFormat/>
    <w:uiPriority w:val="0"/>
    <w:pPr>
      <w:keepNext/>
      <w:keepLines/>
      <w:outlineLvl w:val="3"/>
    </w:pPr>
    <w:rPr>
      <w:rFonts w:ascii="Arial" w:hAnsi="Arial" w:eastAsia="黑体"/>
    </w:rPr>
  </w:style>
  <w:style w:type="paragraph" w:styleId="6">
    <w:name w:val="heading 5"/>
    <w:basedOn w:val="1"/>
    <w:next w:val="1"/>
    <w:semiHidden/>
    <w:unhideWhenUsed/>
    <w:qFormat/>
    <w:uiPriority w:val="0"/>
    <w:pPr>
      <w:keepNext/>
      <w:keepLines/>
      <w:outlineLvl w:val="4"/>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character" w:styleId="11">
    <w:name w:val="Hyperlink"/>
    <w:basedOn w:val="10"/>
    <w:qFormat/>
    <w:uiPriority w:val="0"/>
    <w:rPr>
      <w:color w:val="0563C1" w:themeColor="hyperlink"/>
      <w:u w:val="single"/>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671</Words>
  <Characters>3827</Characters>
  <Lines>31</Lines>
  <Paragraphs>8</Paragraphs>
  <TotalTime>36</TotalTime>
  <ScaleCrop>false</ScaleCrop>
  <LinksUpToDate>false</LinksUpToDate>
  <CharactersWithSpaces>4490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风吹麦浪</cp:lastModifiedBy>
  <dcterms:modified xsi:type="dcterms:W3CDTF">2021-06-22T03:28:27Z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8D3F3A7C9C0949F5B99BFF25EEB9B3C1</vt:lpwstr>
  </property>
</Properties>
</file>