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2019年度</w:t>
      </w:r>
    </w:p>
    <w:p>
      <w:pPr>
        <w:pStyle w:val="11"/>
        <w:jc w:val="center"/>
        <w:rPr>
          <w:sz w:val="84"/>
          <w:szCs w:val="84"/>
        </w:rPr>
      </w:pPr>
      <w:r>
        <w:rPr>
          <w:rFonts w:hint="eastAsia"/>
          <w:sz w:val="84"/>
          <w:szCs w:val="84"/>
        </w:rPr>
        <w:t>益阳市资阳区总工会部门决算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rPr>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outlineLvl w:val="0"/>
        <w:rPr>
          <w:rFonts w:asciiTheme="minorEastAsia" w:hAnsiTheme="minorEastAsia" w:eastAsiaTheme="minorEastAsia" w:cstheme="minorBidi"/>
          <w:b/>
          <w:color w:val="auto"/>
          <w:kern w:val="2"/>
          <w:sz w:val="32"/>
          <w:szCs w:val="32"/>
        </w:rPr>
      </w:pPr>
      <w:r>
        <w:rPr>
          <w:rFonts w:hint="eastAsia" w:asciiTheme="minorEastAsia" w:hAnsiTheme="minorEastAsia" w:eastAsiaTheme="minorEastAsia" w:cstheme="minorBidi"/>
          <w:b/>
          <w:color w:val="auto"/>
          <w:kern w:val="2"/>
          <w:sz w:val="32"/>
          <w:szCs w:val="32"/>
        </w:rPr>
        <w:t>第一部分益阳市资阳区总工会概况</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一、部门职责</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二、机构设置</w:t>
      </w:r>
    </w:p>
    <w:p>
      <w:pPr>
        <w:pStyle w:val="11"/>
        <w:spacing w:line="520" w:lineRule="exact"/>
        <w:outlineLvl w:val="0"/>
        <w:rPr>
          <w:rFonts w:asciiTheme="minorEastAsia" w:hAnsiTheme="minorEastAsia" w:eastAsiaTheme="minorEastAsia" w:cstheme="minorBidi"/>
          <w:b/>
          <w:color w:val="auto"/>
          <w:kern w:val="2"/>
          <w:sz w:val="32"/>
          <w:szCs w:val="32"/>
        </w:rPr>
      </w:pPr>
      <w:r>
        <w:rPr>
          <w:rFonts w:hint="eastAsia" w:asciiTheme="minorEastAsia" w:hAnsiTheme="minorEastAsia" w:eastAsiaTheme="minorEastAsia" w:cstheme="minorBidi"/>
          <w:b/>
          <w:color w:val="auto"/>
          <w:kern w:val="2"/>
          <w:sz w:val="32"/>
          <w:szCs w:val="32"/>
        </w:rPr>
        <w:t>第二部分</w:t>
      </w:r>
      <w:r>
        <w:rPr>
          <w:rFonts w:asciiTheme="minorEastAsia" w:hAnsiTheme="minorEastAsia" w:eastAsiaTheme="minorEastAsia" w:cstheme="minorBidi"/>
          <w:b/>
          <w:color w:val="auto"/>
          <w:kern w:val="2"/>
          <w:sz w:val="32"/>
          <w:szCs w:val="32"/>
        </w:rPr>
        <w:t>2019</w:t>
      </w:r>
      <w:r>
        <w:rPr>
          <w:rFonts w:hint="eastAsia" w:asciiTheme="minorEastAsia" w:hAnsiTheme="minorEastAsia" w:eastAsiaTheme="minorEastAsia" w:cstheme="minorBidi"/>
          <w:b/>
          <w:color w:val="auto"/>
          <w:kern w:val="2"/>
          <w:sz w:val="32"/>
          <w:szCs w:val="32"/>
        </w:rPr>
        <w:t>年度部门决算表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一、收入支出决算总表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二、收入决算表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三、支出决算表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四、财政拨款收入支出决算总表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五、一般公共预算财政拨款支出决算表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六、一般公共预算财政拨款基本支出决算表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七、一般公共预算财政拨款“三公”经费支出决算表</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八、政府性基金预算财政拨款收入支出决算表</w:t>
      </w:r>
    </w:p>
    <w:p>
      <w:pPr>
        <w:pStyle w:val="11"/>
        <w:spacing w:line="520" w:lineRule="exact"/>
        <w:outlineLvl w:val="0"/>
        <w:rPr>
          <w:rFonts w:asciiTheme="minorEastAsia" w:hAnsiTheme="minorEastAsia" w:eastAsiaTheme="minorEastAsia" w:cstheme="minorBidi"/>
          <w:b/>
          <w:color w:val="auto"/>
          <w:kern w:val="2"/>
          <w:sz w:val="32"/>
          <w:szCs w:val="32"/>
        </w:rPr>
      </w:pPr>
      <w:r>
        <w:rPr>
          <w:rFonts w:hint="eastAsia" w:asciiTheme="minorEastAsia" w:hAnsiTheme="minorEastAsia" w:eastAsiaTheme="minorEastAsia" w:cstheme="minorBidi"/>
          <w:b/>
          <w:color w:val="auto"/>
          <w:kern w:val="2"/>
          <w:sz w:val="32"/>
          <w:szCs w:val="32"/>
        </w:rPr>
        <w:t>第三部分</w:t>
      </w:r>
      <w:r>
        <w:rPr>
          <w:rFonts w:asciiTheme="minorEastAsia" w:hAnsiTheme="minorEastAsia" w:eastAsiaTheme="minorEastAsia" w:cstheme="minorBidi"/>
          <w:b/>
          <w:color w:val="auto"/>
          <w:kern w:val="2"/>
          <w:sz w:val="32"/>
          <w:szCs w:val="32"/>
        </w:rPr>
        <w:t>2019</w:t>
      </w:r>
      <w:r>
        <w:rPr>
          <w:rFonts w:hint="eastAsia" w:asciiTheme="minorEastAsia" w:hAnsiTheme="minorEastAsia" w:eastAsiaTheme="minorEastAsia" w:cstheme="minorBidi"/>
          <w:b/>
          <w:color w:val="auto"/>
          <w:kern w:val="2"/>
          <w:sz w:val="32"/>
          <w:szCs w:val="32"/>
        </w:rPr>
        <w:t>年度部门决算情况说明</w:t>
      </w:r>
    </w:p>
    <w:p>
      <w:pPr>
        <w:pStyle w:val="11"/>
        <w:spacing w:line="520" w:lineRule="exact"/>
        <w:ind w:firstLine="800" w:firstLineChars="250"/>
        <w:rPr>
          <w:rFonts w:asciiTheme="minorEastAsia" w:hAnsiTheme="minorEastAsia" w:eastAsiaTheme="minorEastAsia" w:cstheme="minorBidi"/>
          <w:color w:val="auto"/>
          <w:kern w:val="2"/>
          <w:sz w:val="32"/>
          <w:szCs w:val="32"/>
        </w:rPr>
      </w:pPr>
      <w:r>
        <w:rPr>
          <w:rFonts w:asciiTheme="minorEastAsia" w:hAnsiTheme="minorEastAsia" w:eastAsiaTheme="minorEastAsia" w:cstheme="minorBidi"/>
          <w:color w:val="auto"/>
          <w:kern w:val="2"/>
          <w:sz w:val="32"/>
          <w:szCs w:val="32"/>
        </w:rPr>
        <w:t>一、收入支出决算总体情况说明</w:t>
      </w:r>
    </w:p>
    <w:p>
      <w:pPr>
        <w:spacing w:line="520" w:lineRule="exact"/>
        <w:ind w:firstLine="800" w:firstLineChars="250"/>
        <w:jc w:val="left"/>
        <w:rPr>
          <w:rFonts w:asciiTheme="minorEastAsia" w:hAnsiTheme="minorEastAsia"/>
          <w:sz w:val="32"/>
          <w:szCs w:val="32"/>
        </w:rPr>
      </w:pPr>
      <w:r>
        <w:rPr>
          <w:rFonts w:asciiTheme="minorEastAsia" w:hAnsiTheme="minorEastAsia"/>
          <w:sz w:val="32"/>
          <w:szCs w:val="32"/>
        </w:rPr>
        <w:t>二、收入决算情况说明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asciiTheme="minorEastAsia" w:hAnsiTheme="minorEastAsia"/>
          <w:sz w:val="32"/>
          <w:szCs w:val="32"/>
        </w:rPr>
        <w:t>三、支出决算情况说明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asciiTheme="minorEastAsia" w:hAnsiTheme="minorEastAsia"/>
          <w:sz w:val="32"/>
          <w:szCs w:val="32"/>
        </w:rPr>
        <w:t>四、财政拨款收入支出决算总体情况说明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asciiTheme="minorEastAsia" w:hAnsiTheme="minorEastAsia"/>
          <w:sz w:val="32"/>
          <w:szCs w:val="32"/>
        </w:rPr>
        <w:t>五、一般公共预算财政拨款支出决算情况说明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asciiTheme="minorEastAsia" w:hAnsiTheme="minorEastAsia"/>
          <w:sz w:val="32"/>
          <w:szCs w:val="32"/>
        </w:rPr>
        <w:t>六、一般公共预算财政拨款基本支出决算情况说明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asciiTheme="minorEastAsia" w:hAnsiTheme="minorEastAsia"/>
          <w:sz w:val="32"/>
          <w:szCs w:val="32"/>
        </w:rPr>
        <w:t>七、一般公共预算财政拨款三公经费支出决算情况说明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hint="eastAsia" w:asciiTheme="minorEastAsia" w:hAnsiTheme="minorEastAsia"/>
          <w:sz w:val="32"/>
          <w:szCs w:val="32"/>
        </w:rPr>
        <w:t>八</w:t>
      </w:r>
      <w:r>
        <w:rPr>
          <w:rFonts w:asciiTheme="minorEastAsia" w:hAnsiTheme="minorEastAsia"/>
          <w:sz w:val="32"/>
          <w:szCs w:val="32"/>
        </w:rPr>
        <w:t>、</w:t>
      </w:r>
      <w:r>
        <w:rPr>
          <w:rFonts w:hint="eastAsia" w:asciiTheme="minorEastAsia" w:hAnsiTheme="minorEastAsia"/>
          <w:sz w:val="32"/>
          <w:szCs w:val="32"/>
        </w:rPr>
        <w:t>政府性基金预算收入支出决算情况</w:t>
      </w:r>
    </w:p>
    <w:p>
      <w:pPr>
        <w:autoSpaceDE w:val="0"/>
        <w:autoSpaceDN w:val="0"/>
        <w:adjustRightInd w:val="0"/>
        <w:spacing w:line="520" w:lineRule="exact"/>
        <w:ind w:firstLine="800" w:firstLineChars="250"/>
        <w:jc w:val="left"/>
        <w:rPr>
          <w:rFonts w:asciiTheme="minorEastAsia" w:hAnsiTheme="minorEastAsia"/>
          <w:sz w:val="32"/>
          <w:szCs w:val="32"/>
        </w:rPr>
      </w:pPr>
      <w:r>
        <w:rPr>
          <w:rFonts w:hint="eastAsia" w:asciiTheme="minorEastAsia" w:hAnsiTheme="minorEastAsia"/>
          <w:sz w:val="32"/>
          <w:szCs w:val="32"/>
        </w:rPr>
        <w:t>九</w:t>
      </w:r>
      <w:r>
        <w:rPr>
          <w:rFonts w:asciiTheme="minorEastAsia" w:hAnsiTheme="minorEastAsia"/>
          <w:sz w:val="32"/>
          <w:szCs w:val="32"/>
        </w:rPr>
        <w:t>、预算绩效情况说明</w:t>
      </w:r>
    </w:p>
    <w:p>
      <w:pPr>
        <w:autoSpaceDE w:val="0"/>
        <w:autoSpaceDN w:val="0"/>
        <w:adjustRightInd w:val="0"/>
        <w:spacing w:line="520" w:lineRule="exact"/>
        <w:ind w:firstLine="800" w:firstLineChars="250"/>
        <w:jc w:val="left"/>
        <w:rPr>
          <w:rFonts w:asciiTheme="minorEastAsia" w:hAnsiTheme="minorEastAsia"/>
          <w:sz w:val="32"/>
          <w:szCs w:val="32"/>
        </w:rPr>
      </w:pPr>
      <w:r>
        <w:rPr>
          <w:rFonts w:hint="eastAsia" w:asciiTheme="minorEastAsia" w:hAnsiTheme="minorEastAsia"/>
          <w:sz w:val="32"/>
          <w:szCs w:val="32"/>
        </w:rPr>
        <w:t>十</w:t>
      </w:r>
      <w:r>
        <w:rPr>
          <w:rFonts w:asciiTheme="minorEastAsia" w:hAnsiTheme="minorEastAsia"/>
          <w:sz w:val="32"/>
          <w:szCs w:val="32"/>
        </w:rPr>
        <w:t>、其他重要事项情况说明</w:t>
      </w:r>
    </w:p>
    <w:p>
      <w:pPr>
        <w:autoSpaceDE w:val="0"/>
        <w:autoSpaceDN w:val="0"/>
        <w:adjustRightInd w:val="0"/>
        <w:spacing w:line="520" w:lineRule="exact"/>
        <w:jc w:val="left"/>
        <w:outlineLvl w:val="0"/>
        <w:rPr>
          <w:rFonts w:asciiTheme="minorEastAsia" w:hAnsiTheme="minorEastAsia"/>
          <w:b/>
          <w:sz w:val="32"/>
          <w:szCs w:val="32"/>
        </w:rPr>
      </w:pPr>
      <w:r>
        <w:rPr>
          <w:rFonts w:asciiTheme="minorEastAsia" w:hAnsiTheme="minorEastAsia"/>
          <w:b/>
          <w:sz w:val="32"/>
          <w:szCs w:val="32"/>
        </w:rPr>
        <w:t>第四部分名词解释</w:t>
      </w:r>
    </w:p>
    <w:p>
      <w:pPr>
        <w:spacing w:line="520" w:lineRule="exact"/>
        <w:jc w:val="left"/>
        <w:outlineLvl w:val="0"/>
        <w:rPr>
          <w:rFonts w:asciiTheme="minorEastAsia" w:hAnsiTheme="minorEastAsia"/>
          <w:b/>
          <w:sz w:val="32"/>
          <w:szCs w:val="32"/>
        </w:rPr>
      </w:pPr>
      <w:r>
        <w:rPr>
          <w:rFonts w:asciiTheme="minorEastAsia" w:hAnsiTheme="minorEastAsia"/>
          <w:b/>
          <w:sz w:val="32"/>
          <w:szCs w:val="32"/>
        </w:rPr>
        <w:t>第五部分附件</w:t>
      </w:r>
    </w:p>
    <w:p>
      <w:pPr>
        <w:pStyle w:val="11"/>
        <w:outlineLvl w:val="0"/>
        <w:rPr>
          <w:sz w:val="44"/>
          <w:szCs w:val="44"/>
        </w:rPr>
      </w:pPr>
      <w:r>
        <w:rPr>
          <w:rFonts w:hint="eastAsia"/>
          <w:sz w:val="44"/>
          <w:szCs w:val="44"/>
        </w:rPr>
        <w:t>第一部分</w:t>
      </w:r>
      <w:r>
        <w:rPr>
          <w:sz w:val="44"/>
          <w:szCs w:val="44"/>
        </w:rPr>
        <w:t xml:space="preserve"> </w:t>
      </w:r>
      <w:r>
        <w:rPr>
          <w:rFonts w:hint="eastAsia"/>
          <w:sz w:val="44"/>
          <w:szCs w:val="44"/>
        </w:rPr>
        <w:t>益阳市资阳区总工会概况</w:t>
      </w:r>
    </w:p>
    <w:p>
      <w:pPr>
        <w:pStyle w:val="12"/>
        <w:numPr>
          <w:ilvl w:val="0"/>
          <w:numId w:val="1"/>
        </w:numPr>
        <w:ind w:firstLineChars="0"/>
        <w:jc w:val="left"/>
        <w:outlineLvl w:val="1"/>
        <w:rPr>
          <w:rFonts w:ascii="黑体" w:hAnsi="黑体" w:eastAsia="黑体"/>
          <w:sz w:val="32"/>
          <w:szCs w:val="32"/>
        </w:rPr>
      </w:pPr>
      <w:r>
        <w:rPr>
          <w:rFonts w:ascii="黑体" w:hAnsi="黑体" w:eastAsia="黑体"/>
          <w:sz w:val="32"/>
          <w:szCs w:val="32"/>
        </w:rPr>
        <w:t>部门职责</w:t>
      </w:r>
    </w:p>
    <w:p>
      <w:pPr>
        <w:shd w:val="clear" w:color="auto" w:fill="FFFFFF"/>
        <w:spacing w:line="520" w:lineRule="exact"/>
        <w:ind w:firstLine="160" w:firstLineChars="50"/>
        <w:rPr>
          <w:rFonts w:asciiTheme="minorEastAsia" w:hAnsiTheme="minorEastAsia"/>
          <w:bCs/>
          <w:kern w:val="0"/>
          <w:sz w:val="32"/>
          <w:szCs w:val="32"/>
        </w:rPr>
      </w:pPr>
      <w:r>
        <w:rPr>
          <w:rFonts w:hint="eastAsia" w:asciiTheme="minorEastAsia" w:hAnsiTheme="minorEastAsia"/>
          <w:sz w:val="32"/>
          <w:szCs w:val="32"/>
        </w:rPr>
        <w:t>（</w:t>
      </w:r>
      <w:r>
        <w:rPr>
          <w:rFonts w:hint="eastAsia" w:asciiTheme="minorEastAsia" w:hAnsiTheme="minorEastAsia"/>
          <w:bCs/>
          <w:kern w:val="0"/>
          <w:sz w:val="32"/>
          <w:szCs w:val="32"/>
        </w:rPr>
        <w:t>一）根据党的基本理论、基本路线和基本纲领、遵照全国总工会、省、市总工会确定的工会工作的指导方针和任务，围绕大局，结合实际，指导全区工会工作。</w:t>
      </w:r>
    </w:p>
    <w:p>
      <w:pPr>
        <w:ind w:firstLine="160" w:firstLineChars="50"/>
        <w:jc w:val="left"/>
        <w:rPr>
          <w:rFonts w:asciiTheme="minorEastAsia" w:hAnsiTheme="minorEastAsia"/>
          <w:bCs/>
          <w:kern w:val="0"/>
          <w:sz w:val="32"/>
          <w:szCs w:val="32"/>
        </w:rPr>
      </w:pPr>
      <w:r>
        <w:rPr>
          <w:rFonts w:hint="eastAsia" w:asciiTheme="minorEastAsia" w:hAnsiTheme="minorEastAsia"/>
          <w:bCs/>
          <w:kern w:val="0"/>
          <w:sz w:val="32"/>
          <w:szCs w:val="32"/>
        </w:rPr>
        <w:t>（二）贯彻全国总工会、省、市总工会和市总工会代表大会的决议，依照法律和章程，组织和指导全区各级工会履行工会“组织起来，切实维权”和维护、建设、参与、教育等社会职能，开展工会各项工作；指导区总工会直属单位的工作。</w:t>
      </w:r>
    </w:p>
    <w:p>
      <w:pPr>
        <w:widowControl/>
        <w:spacing w:line="600" w:lineRule="exact"/>
        <w:outlineLvl w:val="1"/>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hd w:val="clear" w:color="auto" w:fill="FFFFFF"/>
        <w:spacing w:line="520" w:lineRule="exact"/>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（一）内设机构设置。益阳市资阳总工会单位内设机构包括：内设3个机关职能部室（内设办公室、组织部（区直机关工会委员会）、权益保障部）。</w:t>
      </w:r>
    </w:p>
    <w:p>
      <w:pPr>
        <w:shd w:val="clear" w:color="auto" w:fill="FFFFFF"/>
        <w:spacing w:line="520" w:lineRule="exact"/>
        <w:ind w:firstLine="480" w:firstLineChars="150"/>
        <w:rPr>
          <w:rFonts w:asciiTheme="minorEastAsia" w:hAnsiTheme="minorEastAsia"/>
          <w:bCs/>
          <w:kern w:val="0"/>
          <w:sz w:val="32"/>
          <w:szCs w:val="32"/>
        </w:rPr>
      </w:pPr>
      <w:r>
        <w:rPr>
          <w:rFonts w:hint="eastAsia" w:asciiTheme="minorEastAsia" w:hAnsiTheme="minorEastAsia"/>
          <w:bCs/>
          <w:kern w:val="0"/>
          <w:sz w:val="32"/>
          <w:szCs w:val="32"/>
        </w:rPr>
        <w:t>办公室(财务资产部、女职工部，经费审查委员会办公室)：负责机关文电、会务接待、机要保密、人事政工、党建，意识形态，精准扶贫、综治、老干等工作;负责工会宣传教育工作。组织协调工会各项重点工作宣传和新闻发布工作。负责工运信息的收集和处理工作。负责本级工会的会计事务和财务管理;监督管理本级留成经费;考察、审核需本级工会补助经费的项目;负责区总工会女职工委员会日常工作。负责全区工会经费审查工作，审计监督本级和基层工会经费收支和资产管理情况，审计监督本级工会及直属单位的建设项目和领导干部任期经济责任。</w:t>
      </w:r>
    </w:p>
    <w:p>
      <w:pPr>
        <w:shd w:val="clear" w:color="auto" w:fill="FFFFFF"/>
        <w:spacing w:line="52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组织部(区直机关工会委员会)：负责基层工会组织建设工作和职工民主管理工作;指导基层工会队伍建设及会员会籍管理工作:指导开展“职工之家”创建活动:指导推动企事业单位建立健全以职工代表大会为基本形式的民主管理制度。负责工会统计工作:负责工人运动和工会工作理论政策研究工作。组织开展群众性经济负责区内全国、省、市、区劳动模范、“五一”劳动奖章和“工人先锋号”的推荐评选和管理工作;负责“益阳工匠”的推荐工作。负责本单位党风廉政建设工作。</w:t>
      </w:r>
    </w:p>
    <w:p>
      <w:pPr>
        <w:shd w:val="clear" w:color="auto" w:fill="FFFFFF"/>
        <w:spacing w:line="52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权益保障部：参与涉及职工和工会工作的执法监督工作;参与有关职工劳动就业、收入分配、社会保障等政策和法律法规执行情况的监督检查和重大劳动争议案件调查处理;指导工会法律援助、法律服务和配合开展普法教育工作;参与推进建立劳动关系三方协调机制;组织实施城市困难职工解困脱困、帮扶救助、互助互济工作;负责工会有关农民工的服务协调工作;推动工会组织建立集体协商和监督保障机制;负责工会维稳和职工来信来访工作;组织工会职工医疗互助活动:承担本单位法律顾问、合同归口管理工作;承担区“双联”帮扶和“一户一产业工人”培养工程领导小组办公室日常工作。</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宋体" w:hAnsi="宋体" w:eastAsia="宋体" w:cs="Times New Roman"/>
          <w:bCs/>
          <w:kern w:val="0"/>
          <w:sz w:val="32"/>
          <w:szCs w:val="32"/>
        </w:rPr>
        <w:t>益阳市资阳区总工会</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宋体" w:hAnsi="宋体" w:eastAsia="宋体" w:cs="Times New Roman"/>
          <w:bCs/>
          <w:kern w:val="0"/>
          <w:sz w:val="32"/>
          <w:szCs w:val="32"/>
        </w:rPr>
        <w:t>益阳市资阳区总工会本级，没有分支机构，因此，纳入201</w:t>
      </w:r>
      <w:r>
        <w:rPr>
          <w:rFonts w:hint="eastAsia" w:asciiTheme="minorEastAsia" w:hAnsiTheme="minorEastAsia"/>
          <w:bCs/>
          <w:kern w:val="0"/>
          <w:sz w:val="32"/>
          <w:szCs w:val="32"/>
        </w:rPr>
        <w:t>9</w:t>
      </w:r>
      <w:r>
        <w:rPr>
          <w:rFonts w:hint="eastAsia" w:ascii="宋体" w:hAnsi="宋体" w:eastAsia="宋体" w:cs="Times New Roman"/>
          <w:bCs/>
          <w:kern w:val="0"/>
          <w:sz w:val="32"/>
          <w:szCs w:val="32"/>
        </w:rPr>
        <w:t>年部门预算编制范围的只有益阳市资阳区总工会本级。</w:t>
      </w:r>
    </w:p>
    <w:p>
      <w:pPr>
        <w:widowControl/>
        <w:spacing w:line="600" w:lineRule="exac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p>
    <w:p>
      <w:pPr>
        <w:pStyle w:val="11"/>
        <w:numPr>
          <w:ilvl w:val="0"/>
          <w:numId w:val="2"/>
        </w:numPr>
        <w:outlineLvl w:val="0"/>
        <w:rPr>
          <w:sz w:val="44"/>
          <w:szCs w:val="44"/>
        </w:rPr>
      </w:pPr>
      <w:r>
        <w:rPr>
          <w:rFonts w:hint="eastAsia"/>
          <w:sz w:val="44"/>
          <w:szCs w:val="44"/>
        </w:rPr>
        <w:t>部门决算表（见附表）</w:t>
      </w:r>
    </w:p>
    <w:p>
      <w:pPr>
        <w:pStyle w:val="11"/>
        <w:rPr>
          <w:sz w:val="44"/>
          <w:szCs w:val="44"/>
        </w:rPr>
      </w:pPr>
    </w:p>
    <w:p>
      <w:pPr>
        <w:pStyle w:val="11"/>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1"/>
        <w:outlineLvl w:val="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年度收、支总计105.20万元。</w:t>
      </w:r>
      <w:r>
        <w:rPr>
          <w:rFonts w:hint="eastAsia" w:asciiTheme="minorEastAsia" w:hAnsiTheme="minorEastAsia" w:eastAsiaTheme="minorEastAsia"/>
          <w:color w:val="000000" w:themeColor="text1"/>
          <w:sz w:val="32"/>
          <w:szCs w:val="32"/>
        </w:rPr>
        <w:t>与2018年相比，减少36.8万元，减少25.9%，主要是因为单位人员减少，工资总额和各项社会保障缴费减少。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本年收入合计95.14万元，其中：财政拨款收入93.02万元，占97.7%；上级补助收入0万元，占0%；事业收入0万元，占0%；经营收入0万元，占0%；附属单位上缴收入0万元，占0%；其他收入2.12万元，占2.3%。</w:t>
      </w:r>
    </w:p>
    <w:p>
      <w:pPr>
        <w:pStyle w:val="11"/>
        <w:outlineLvl w:val="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本年支出合计94.81万元，其中：基本支出89.81万元，占94.7%；项目支出5万元，占5.3%；上缴上级支出0万元，占0%；经营支出0万元，占0%；对附属单位补助支出0万元，占0%。</w:t>
      </w:r>
    </w:p>
    <w:p>
      <w:pPr>
        <w:pStyle w:val="11"/>
        <w:outlineLvl w:val="1"/>
        <w:rPr>
          <w:rFonts w:hAnsi="黑体"/>
          <w:b/>
          <w:sz w:val="32"/>
          <w:szCs w:val="32"/>
        </w:rPr>
      </w:pPr>
      <w:r>
        <w:rPr>
          <w:rFonts w:hint="eastAsia" w:hAnsi="黑体"/>
          <w:b/>
          <w:sz w:val="32"/>
          <w:szCs w:val="32"/>
        </w:rPr>
        <w:t>四、财政拨款收入支出决算总体情况说明</w:t>
      </w:r>
    </w:p>
    <w:p>
      <w:pPr>
        <w:pStyle w:val="11"/>
        <w:ind w:firstLine="648"/>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2019年度财政拨款收、支总计101.08万元，</w:t>
      </w:r>
      <w:r>
        <w:rPr>
          <w:rFonts w:hint="eastAsia" w:asciiTheme="minorEastAsia" w:hAnsiTheme="minorEastAsia" w:eastAsiaTheme="minorEastAsia"/>
          <w:color w:val="000000" w:themeColor="text1"/>
          <w:sz w:val="32"/>
          <w:szCs w:val="32"/>
        </w:rPr>
        <w:t>与2018年相比，减少38.92万元,（减少）27.8%，主要是因为单位人员减少，工资总额和各项社会保障缴费减少。</w:t>
      </w:r>
    </w:p>
    <w:p>
      <w:pPr>
        <w:pStyle w:val="11"/>
        <w:ind w:firstLine="648"/>
        <w:rPr>
          <w:rFonts w:asciiTheme="minorEastAsia" w:hAnsiTheme="minorEastAsia" w:eastAsiaTheme="minorEastAsia"/>
          <w:color w:val="FF0000"/>
          <w:sz w:val="32"/>
          <w:szCs w:val="32"/>
        </w:rPr>
      </w:pPr>
    </w:p>
    <w:p>
      <w:pPr>
        <w:pStyle w:val="11"/>
        <w:numPr>
          <w:ilvl w:val="0"/>
          <w:numId w:val="3"/>
        </w:numPr>
        <w:outlineLvl w:val="1"/>
        <w:rPr>
          <w:rFonts w:hAnsi="黑体"/>
          <w:b/>
          <w:sz w:val="32"/>
          <w:szCs w:val="32"/>
        </w:rPr>
      </w:pPr>
      <w:r>
        <w:rPr>
          <w:rFonts w:hint="eastAsia" w:hAnsi="黑体"/>
          <w:b/>
          <w:sz w:val="32"/>
          <w:szCs w:val="32"/>
        </w:rPr>
        <w:t>一般公共预算财政拨款支出决算情况说明</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2019年度财政拨款支出92.74万元，占本年支出合计的98%，</w:t>
      </w:r>
      <w:r>
        <w:rPr>
          <w:rFonts w:hint="eastAsia" w:asciiTheme="minorEastAsia" w:hAnsiTheme="minorEastAsia" w:eastAsiaTheme="minorEastAsia"/>
          <w:color w:val="000000" w:themeColor="text1"/>
          <w:sz w:val="32"/>
          <w:szCs w:val="32"/>
        </w:rPr>
        <w:t>与2018年相比，财政拨款支出（减少）39.16万元，减少29.6%，主要是因为单位人员减少，工资总额和各项社会保障缴费减少。</w:t>
      </w:r>
    </w:p>
    <w:p>
      <w:pPr>
        <w:pStyle w:val="11"/>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92.74万元，主要用于以下方面：一般公共服务（类）支出64.57万元，占69.7%；社会保障和就业（类）支出9.52万元，占10.2%；卫生健康（类）支出13.22万元，占14.2%；住房保障（类）支出5.43万元，占5.9%。</w:t>
      </w:r>
    </w:p>
    <w:p>
      <w:pPr>
        <w:pStyle w:val="11"/>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2019年度财政拨款支出年初预算数为95万元，支出决算数为92.74万元，完成年初预算的97.6%，其中：</w:t>
      </w:r>
    </w:p>
    <w:p>
      <w:pPr>
        <w:pStyle w:val="11"/>
        <w:ind w:firstLine="800"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1、一般公共服务支出 年初预算为66.55万元，支出决算为64.57万元，完成年初预算的97%，</w:t>
      </w:r>
      <w:r>
        <w:rPr>
          <w:rFonts w:hint="eastAsia" w:asciiTheme="minorEastAsia" w:hAnsiTheme="minorEastAsia" w:eastAsiaTheme="minorEastAsia"/>
          <w:color w:val="000000" w:themeColor="text1"/>
          <w:sz w:val="32"/>
          <w:szCs w:val="32"/>
        </w:rPr>
        <w:t>决算数小于年初预算数的主要原因是：单位人员减少。</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2012901行政运行，主要用于单位人员的基本工资和津补贴、奖金发放，完成年初预算的97%；</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2012902一般行政管理事务，主要用于劳模经费支出，完成年初预算的100%；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2012999其他群众团体事务支出，完成年初预算的100%；</w:t>
      </w:r>
    </w:p>
    <w:p>
      <w:pPr>
        <w:pStyle w:val="11"/>
        <w:ind w:firstLine="800" w:firstLineChars="250"/>
        <w:rPr>
          <w:rFonts w:asciiTheme="minorEastAsia" w:hAnsiTheme="minorEastAsia" w:eastAsiaTheme="minorEastAsia"/>
          <w:sz w:val="32"/>
          <w:szCs w:val="32"/>
        </w:rPr>
      </w:pP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  年初预算为 9.52 万元，支出决算为9.52万元，完成年初预算的100%；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2080505 机关事业单位基本养老保险缴费支出  主要用于缴纳单位基本养老保险，完成年初预算的100%；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 年初预算为  13.22万元，支出决算为13.22万元，完成年初预算的100%；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2101101行政单位医疗  主要用于缴纳单位基本医疗保险，完成年初预算的100%；</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4、住房保障支出 年初预算为 5.71万元，支出决算为5.43万元，完成年初预算的95%；</w:t>
      </w:r>
    </w:p>
    <w:p>
      <w:pPr>
        <w:pStyle w:val="11"/>
        <w:ind w:firstLine="800" w:firstLineChars="25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2210201住房公积金主要用于缴纳单位住房公积金，完成年初预算的95%；</w:t>
      </w:r>
      <w:r>
        <w:rPr>
          <w:rFonts w:hint="eastAsia" w:asciiTheme="minorEastAsia" w:hAnsiTheme="minorEastAsia" w:eastAsiaTheme="minorEastAsia"/>
          <w:color w:val="FF0000"/>
          <w:sz w:val="32"/>
          <w:szCs w:val="32"/>
        </w:rPr>
        <w:t>决算数小于年初预算数的主要原因是：单位人员减少。</w:t>
      </w:r>
    </w:p>
    <w:p>
      <w:pPr>
        <w:pStyle w:val="11"/>
        <w:ind w:firstLine="800" w:firstLineChars="250"/>
        <w:rPr>
          <w:rFonts w:asciiTheme="minorEastAsia" w:hAnsiTheme="minorEastAsia" w:eastAsiaTheme="minorEastAsia"/>
          <w:sz w:val="32"/>
          <w:szCs w:val="32"/>
        </w:rPr>
      </w:pPr>
    </w:p>
    <w:p>
      <w:pPr>
        <w:pStyle w:val="11"/>
        <w:ind w:firstLine="800" w:firstLineChars="250"/>
        <w:rPr>
          <w:rFonts w:asciiTheme="minorEastAsia" w:hAnsiTheme="minorEastAsia" w:eastAsiaTheme="minorEastAsia"/>
          <w:sz w:val="32"/>
          <w:szCs w:val="32"/>
        </w:rPr>
      </w:pPr>
      <w:bookmarkStart w:id="0" w:name="_GoBack"/>
      <w:bookmarkEnd w:id="0"/>
    </w:p>
    <w:p>
      <w:pPr>
        <w:pStyle w:val="11"/>
        <w:outlineLvl w:val="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2019年度财政拨款基本支出87.74万元，其中：人员经费87.14万元，占基本支出的99.3%,主要包括基本工资、津贴补贴、奖金；公用经费0.6万元，占基本支出的0.7%，主要包括办公费、印刷费、咨询费、手续费</w:t>
      </w:r>
    </w:p>
    <w:p>
      <w:pPr>
        <w:pStyle w:val="11"/>
        <w:outlineLvl w:val="1"/>
        <w:rPr>
          <w:rFonts w:hAnsi="黑体"/>
          <w:b/>
          <w:sz w:val="32"/>
          <w:szCs w:val="32"/>
        </w:rPr>
      </w:pPr>
      <w:r>
        <w:rPr>
          <w:rFonts w:hint="eastAsia" w:hAnsi="黑体"/>
          <w:b/>
          <w:sz w:val="32"/>
          <w:szCs w:val="32"/>
        </w:rPr>
        <w:t>七、一般公共预算财政拨款三公经费支出决算情况说明</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“三公”经费财政拨款支出预算为0万元，支出决算为0万元，完成预算的0%，其中：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因公出国（境）费支出预算为0万元，支出决算为0万元，完成预算的0%，与上年持平。增长0%,主要原因是无出国（境）费。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公务接待费支出预算为0万元，支出决算为0万元，完成预算的0%，与上年持平。增长0%,主要原因是无公务接待。</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公务用车购置费及运行维护费支出预算为0万元，支出决算为0万元，完成预算的0%，与上年持平，增长0%,主要原因是无公务用车。</w:t>
      </w:r>
    </w:p>
    <w:p>
      <w:pPr>
        <w:pStyle w:val="11"/>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2019年度“三公”经费财政拨款支出决算中，公务接待费支出决算0万元，占0%,因公出国（境）费支出决算0万元，占0%,公务用车购置费及运行维护费支出决算0万元，占0%。其中：</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1、因公出国（境）费支出决算为0万元，全年安排因公出国（境）团组0个，累计0人次,开支内容包括：支出0万元。</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2、公务接待费支出决算为0万元，全年共接待来访团组0个、来宾0人次。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3、公务用车购置费及运行维护费支出决算为0万元，其中：公务用车购置费0万元，单位本级更新公务用车0辆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公务用车运行维护费0万元，截止2019年12月31日，我单位开支财政拨款的公务用车保有量为0辆。</w:t>
      </w:r>
    </w:p>
    <w:p>
      <w:pPr>
        <w:pStyle w:val="11"/>
        <w:outlineLvl w:val="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2019年度本单位无政府性基金收支。</w:t>
      </w:r>
    </w:p>
    <w:p>
      <w:pPr>
        <w:pStyle w:val="11"/>
        <w:outlineLvl w:val="1"/>
        <w:rPr>
          <w:rFonts w:hAnsi="黑体"/>
          <w:b/>
          <w:sz w:val="32"/>
          <w:szCs w:val="32"/>
        </w:rPr>
      </w:pPr>
      <w:r>
        <w:rPr>
          <w:rFonts w:hint="eastAsia" w:hAnsi="黑体"/>
          <w:b/>
          <w:sz w:val="32"/>
          <w:szCs w:val="32"/>
        </w:rPr>
        <w:t>九、关于2019年度预算绩效情况说明</w:t>
      </w:r>
    </w:p>
    <w:p>
      <w:pPr>
        <w:spacing w:line="220" w:lineRule="atLeast"/>
        <w:ind w:firstLine="800" w:firstLineChars="25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按照有关政策文件和区财政局要求加强预算绩效管理工作，在编制2019年部门预算时，本部门将所有预算资金纳入绩效目标管理，实现了绩效目标与部门预算同步编制、同步申报。按照确定的职责，利用部门预算资金在一定期限内预期达到总体产出和效果。</w:t>
      </w:r>
    </w:p>
    <w:p>
      <w:pPr>
        <w:pStyle w:val="11"/>
        <w:ind w:firstLine="800" w:firstLineChars="250"/>
        <w:rPr>
          <w:rFonts w:asciiTheme="minorEastAsia" w:hAnsiTheme="minorEastAsia" w:eastAsiaTheme="minorEastAsia"/>
          <w:sz w:val="32"/>
          <w:szCs w:val="32"/>
        </w:rPr>
      </w:pPr>
    </w:p>
    <w:p>
      <w:pPr>
        <w:pStyle w:val="11"/>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年度机关运行经费支出94.81万元，比年初预算数（减少）0.19万元，降低0.2%。主要原因是年中单位人员减少。</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2019年本部门开支会议费0万元，开支培训费0万元，举办节庆、晚会、论坛、赛事活动，开支0万元。</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1"/>
        <w:jc w:val="both"/>
        <w:outlineLvl w:val="0"/>
        <w:rPr>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3"/>
        <w:jc w:val="left"/>
        <w:rPr>
          <w:rFonts w:ascii="仿宋" w:hAnsi="仿宋" w:eastAsia="仿宋" w:cs="仿宋"/>
          <w:b/>
          <w:color w:val="FF0000"/>
          <w:sz w:val="32"/>
        </w:rPr>
      </w:pPr>
    </w:p>
    <w:p>
      <w:pPr>
        <w:pStyle w:val="11"/>
        <w:jc w:val="both"/>
        <w:outlineLvl w:val="0"/>
        <w:rPr>
          <w:sz w:val="44"/>
          <w:szCs w:val="44"/>
        </w:rPr>
      </w:pPr>
      <w:r>
        <w:rPr>
          <w:rFonts w:hint="eastAsia"/>
          <w:sz w:val="44"/>
          <w:szCs w:val="44"/>
        </w:rPr>
        <w:t>第五部分 附件</w:t>
      </w:r>
    </w:p>
    <w:p>
      <w:pPr>
        <w:keepNext/>
        <w:keepLines/>
        <w:ind w:firstLine="640"/>
        <w:rPr>
          <w:rFonts w:ascii="仿宋" w:hAnsi="仿宋" w:eastAsia="仿宋"/>
          <w:b/>
          <w:sz w:val="32"/>
          <w:highlight w:val="white"/>
        </w:rPr>
      </w:pPr>
      <w:r>
        <w:rPr>
          <w:rFonts w:hint="eastAsia" w:ascii="仿宋" w:hAnsi="仿宋" w:eastAsia="仿宋"/>
          <w:sz w:val="32"/>
          <w:highlight w:val="white"/>
        </w:rPr>
        <w:t>2019年度益阳市资阳区总工会部门决算公开表格</w:t>
      </w:r>
    </w:p>
    <w:p>
      <w:pPr>
        <w:widowControl/>
        <w:jc w:val="left"/>
        <w:rPr>
          <w:rFonts w:ascii="黑体" w:eastAsia="黑体" w:cs="黑体"/>
          <w:color w:val="000000"/>
          <w:kern w:val="0"/>
          <w:sz w:val="70"/>
          <w:szCs w:val="70"/>
        </w:rPr>
      </w:pPr>
    </w:p>
    <w:p>
      <w:pPr>
        <w:pStyle w:val="11"/>
        <w:rPr>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6E1C2B"/>
    <w:rsid w:val="000241F5"/>
    <w:rsid w:val="00036D6C"/>
    <w:rsid w:val="0008356B"/>
    <w:rsid w:val="000C6CF0"/>
    <w:rsid w:val="000D1A87"/>
    <w:rsid w:val="000D1D92"/>
    <w:rsid w:val="000F7E63"/>
    <w:rsid w:val="00106B12"/>
    <w:rsid w:val="00146B0E"/>
    <w:rsid w:val="0014719F"/>
    <w:rsid w:val="00153E2A"/>
    <w:rsid w:val="001751B6"/>
    <w:rsid w:val="00184313"/>
    <w:rsid w:val="001A07F5"/>
    <w:rsid w:val="001A43F6"/>
    <w:rsid w:val="001E273D"/>
    <w:rsid w:val="001F4C51"/>
    <w:rsid w:val="002169AB"/>
    <w:rsid w:val="00221C9E"/>
    <w:rsid w:val="002246E2"/>
    <w:rsid w:val="00245387"/>
    <w:rsid w:val="0026105F"/>
    <w:rsid w:val="00272370"/>
    <w:rsid w:val="002A1434"/>
    <w:rsid w:val="002A6436"/>
    <w:rsid w:val="002C79AC"/>
    <w:rsid w:val="0031183F"/>
    <w:rsid w:val="003217A5"/>
    <w:rsid w:val="00383743"/>
    <w:rsid w:val="0039521C"/>
    <w:rsid w:val="003A3DFE"/>
    <w:rsid w:val="003A6240"/>
    <w:rsid w:val="003C4960"/>
    <w:rsid w:val="003F431D"/>
    <w:rsid w:val="00406499"/>
    <w:rsid w:val="00410811"/>
    <w:rsid w:val="004172B8"/>
    <w:rsid w:val="004871D7"/>
    <w:rsid w:val="004D6B64"/>
    <w:rsid w:val="005445AB"/>
    <w:rsid w:val="00596BC1"/>
    <w:rsid w:val="005D4DAD"/>
    <w:rsid w:val="005E26BF"/>
    <w:rsid w:val="00650975"/>
    <w:rsid w:val="006649B5"/>
    <w:rsid w:val="00675E4E"/>
    <w:rsid w:val="00692798"/>
    <w:rsid w:val="00696760"/>
    <w:rsid w:val="006B2C7C"/>
    <w:rsid w:val="007513BC"/>
    <w:rsid w:val="00775516"/>
    <w:rsid w:val="007B6A2D"/>
    <w:rsid w:val="008170B1"/>
    <w:rsid w:val="00832D03"/>
    <w:rsid w:val="0083710A"/>
    <w:rsid w:val="00866E4E"/>
    <w:rsid w:val="00872168"/>
    <w:rsid w:val="0087342F"/>
    <w:rsid w:val="008D1143"/>
    <w:rsid w:val="008E1A56"/>
    <w:rsid w:val="008F7062"/>
    <w:rsid w:val="00915C2B"/>
    <w:rsid w:val="009D32AC"/>
    <w:rsid w:val="00A14EAE"/>
    <w:rsid w:val="00A3347E"/>
    <w:rsid w:val="00A5482C"/>
    <w:rsid w:val="00A564A3"/>
    <w:rsid w:val="00B4705C"/>
    <w:rsid w:val="00BB0901"/>
    <w:rsid w:val="00BD415E"/>
    <w:rsid w:val="00C0122A"/>
    <w:rsid w:val="00C1061F"/>
    <w:rsid w:val="00C13D5E"/>
    <w:rsid w:val="00C474AD"/>
    <w:rsid w:val="00C614EA"/>
    <w:rsid w:val="00C76AB2"/>
    <w:rsid w:val="00C813B6"/>
    <w:rsid w:val="00CD41D4"/>
    <w:rsid w:val="00CD7DE5"/>
    <w:rsid w:val="00CF1436"/>
    <w:rsid w:val="00CF4C43"/>
    <w:rsid w:val="00D34EA0"/>
    <w:rsid w:val="00D36207"/>
    <w:rsid w:val="00D36279"/>
    <w:rsid w:val="00D434BD"/>
    <w:rsid w:val="00D6180F"/>
    <w:rsid w:val="00D744E0"/>
    <w:rsid w:val="00DC6685"/>
    <w:rsid w:val="00DD72A7"/>
    <w:rsid w:val="00DE3981"/>
    <w:rsid w:val="00E16433"/>
    <w:rsid w:val="00E275AC"/>
    <w:rsid w:val="00E36047"/>
    <w:rsid w:val="00E70FFA"/>
    <w:rsid w:val="00E81E1E"/>
    <w:rsid w:val="00EF44B2"/>
    <w:rsid w:val="00F04037"/>
    <w:rsid w:val="00F37776"/>
    <w:rsid w:val="00FE14B5"/>
    <w:rsid w:val="036E123C"/>
    <w:rsid w:val="04F233F6"/>
    <w:rsid w:val="08864F04"/>
    <w:rsid w:val="0D137CB2"/>
    <w:rsid w:val="0F6E1C2B"/>
    <w:rsid w:val="123E2160"/>
    <w:rsid w:val="206D6EE3"/>
    <w:rsid w:val="27373FE5"/>
    <w:rsid w:val="30931785"/>
    <w:rsid w:val="329C7A0C"/>
    <w:rsid w:val="36313B69"/>
    <w:rsid w:val="3A804E10"/>
    <w:rsid w:val="3CF507C5"/>
    <w:rsid w:val="415356CE"/>
    <w:rsid w:val="47922311"/>
    <w:rsid w:val="49100321"/>
    <w:rsid w:val="4E646EC4"/>
    <w:rsid w:val="4F784BC7"/>
    <w:rsid w:val="51194F31"/>
    <w:rsid w:val="5AE11096"/>
    <w:rsid w:val="5F020277"/>
    <w:rsid w:val="749261B6"/>
    <w:rsid w:val="77931FE8"/>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semiHidden/>
    <w:unhideWhenUsed/>
    <w:qFormat/>
    <w:uiPriority w:val="0"/>
    <w:pPr>
      <w:keepNext/>
      <w:keepLines/>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ind w:firstLine="880" w:firstLineChars="200"/>
      <w:outlineLvl w:val="2"/>
    </w:pPr>
    <w:rPr>
      <w:rFonts w:eastAsia="黑体"/>
    </w:rPr>
  </w:style>
  <w:style w:type="paragraph" w:styleId="5">
    <w:name w:val="heading 4"/>
    <w:basedOn w:val="1"/>
    <w:next w:val="1"/>
    <w:semiHidden/>
    <w:unhideWhenUsed/>
    <w:qFormat/>
    <w:uiPriority w:val="0"/>
    <w:pPr>
      <w:keepNext/>
      <w:keepLines/>
      <w:outlineLvl w:val="3"/>
    </w:pPr>
    <w:rPr>
      <w:rFonts w:ascii="Arial" w:hAnsi="Arial" w:eastAsia="黑体"/>
    </w:rPr>
  </w:style>
  <w:style w:type="paragraph" w:styleId="6">
    <w:name w:val="heading 5"/>
    <w:basedOn w:val="1"/>
    <w:next w:val="1"/>
    <w:semiHidden/>
    <w:unhideWhenUsed/>
    <w:qFormat/>
    <w:uiPriority w:val="0"/>
    <w:pPr>
      <w:keepNext/>
      <w:keepLines/>
      <w:outlineLvl w:val="4"/>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footer"/>
    <w:basedOn w:val="1"/>
    <w:unhideWhenUsed/>
    <w:uiPriority w:val="99"/>
    <w:pPr>
      <w:tabs>
        <w:tab w:val="center" w:pos="4153"/>
        <w:tab w:val="right" w:pos="8306"/>
      </w:tabs>
      <w:snapToGrid w:val="0"/>
      <w:jc w:val="left"/>
    </w:pPr>
    <w:rPr>
      <w:rFonts w:hint="eastAsia"/>
      <w:sz w:val="18"/>
    </w:rPr>
  </w:style>
  <w:style w:type="paragraph" w:styleId="8">
    <w:name w:val="header"/>
    <w:basedOn w:val="1"/>
    <w:unhideWhenUsed/>
    <w:uiPriority w:val="99"/>
    <w:pPr>
      <w:pBdr>
        <w:bottom w:val="single" w:color="auto" w:sz="6" w:space="1"/>
      </w:pBdr>
      <w:tabs>
        <w:tab w:val="center" w:pos="4153"/>
        <w:tab w:val="right" w:pos="8306"/>
      </w:tabs>
      <w:snapToGrid w:val="0"/>
      <w:jc w:val="center"/>
    </w:pPr>
    <w:rPr>
      <w:rFonts w:hint="eastAsia"/>
      <w:sz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771</Words>
  <Characters>4399</Characters>
  <Lines>36</Lines>
  <Paragraphs>10</Paragraphs>
  <TotalTime>0</TotalTime>
  <ScaleCrop>false</ScaleCrop>
  <LinksUpToDate>false</LinksUpToDate>
  <CharactersWithSpaces>5160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易晖</cp:lastModifiedBy>
  <cp:lastPrinted>2020-09-27T07:08:00Z</cp:lastPrinted>
  <dcterms:modified xsi:type="dcterms:W3CDTF">2021-06-23T07:54:50Z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A56547261D6648C7962CB964A614E17B</vt:lpwstr>
  </property>
</Properties>
</file>