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84"/>
          <w:szCs w:val="84"/>
        </w:rPr>
      </w:pPr>
    </w:p>
    <w:p>
      <w:pPr>
        <w:pStyle w:val="11"/>
        <w:jc w:val="center"/>
        <w:rPr>
          <w:sz w:val="84"/>
          <w:szCs w:val="84"/>
        </w:rPr>
      </w:pPr>
    </w:p>
    <w:p>
      <w:pPr>
        <w:pStyle w:val="11"/>
        <w:jc w:val="center"/>
        <w:rPr>
          <w:sz w:val="84"/>
          <w:szCs w:val="84"/>
        </w:rPr>
      </w:pPr>
    </w:p>
    <w:p>
      <w:pPr>
        <w:pStyle w:val="11"/>
        <w:rPr>
          <w:sz w:val="84"/>
          <w:szCs w:val="84"/>
        </w:rPr>
      </w:pPr>
    </w:p>
    <w:p>
      <w:pPr>
        <w:pStyle w:val="11"/>
        <w:ind w:left="781" w:leftChars="372" w:firstLine="2459" w:firstLineChars="473"/>
        <w:rPr>
          <w:sz w:val="52"/>
          <w:szCs w:val="52"/>
        </w:rPr>
      </w:pPr>
      <w:r>
        <w:rPr>
          <w:rFonts w:hint="eastAsia"/>
          <w:sz w:val="52"/>
          <w:szCs w:val="52"/>
        </w:rPr>
        <w:t>2019年度                  益阳市资阳区住房和城乡建设局</w:t>
      </w:r>
    </w:p>
    <w:p>
      <w:pPr>
        <w:pStyle w:val="11"/>
        <w:ind w:firstLine="3240"/>
        <w:rPr>
          <w:sz w:val="52"/>
          <w:szCs w:val="52"/>
        </w:rPr>
      </w:pPr>
      <w:r>
        <w:rPr>
          <w:rFonts w:hint="eastAsia"/>
          <w:sz w:val="52"/>
          <w:szCs w:val="52"/>
        </w:rPr>
        <w:t>部门决算</w:t>
      </w:r>
    </w:p>
    <w:p>
      <w:pPr>
        <w:pStyle w:val="11"/>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rPr>
          <w:sz w:val="56"/>
          <w:szCs w:val="56"/>
        </w:rPr>
      </w:pPr>
    </w:p>
    <w:p>
      <w:pPr>
        <w:pStyle w:val="11"/>
        <w:spacing w:line="520" w:lineRule="exact"/>
        <w:jc w:val="center"/>
        <w:rPr>
          <w:sz w:val="56"/>
          <w:szCs w:val="56"/>
        </w:rPr>
      </w:pPr>
    </w:p>
    <w:p>
      <w:pPr>
        <w:pStyle w:val="11"/>
        <w:spacing w:line="520" w:lineRule="exact"/>
        <w:jc w:val="center"/>
        <w:rPr>
          <w:sz w:val="56"/>
          <w:szCs w:val="56"/>
        </w:rPr>
      </w:pPr>
    </w:p>
    <w:p>
      <w:pPr>
        <w:pStyle w:val="11"/>
        <w:spacing w:line="520" w:lineRule="exact"/>
        <w:jc w:val="center"/>
        <w:rPr>
          <w:sz w:val="56"/>
          <w:szCs w:val="56"/>
        </w:rPr>
      </w:pPr>
      <w:r>
        <w:rPr>
          <w:rFonts w:hint="eastAsia"/>
          <w:sz w:val="56"/>
          <w:szCs w:val="56"/>
        </w:rPr>
        <w:t>目录</w:t>
      </w:r>
    </w:p>
    <w:p>
      <w:pPr>
        <w:pStyle w:val="11"/>
        <w:spacing w:line="520" w:lineRule="exact"/>
        <w:jc w:val="center"/>
        <w:rPr>
          <w:sz w:val="56"/>
          <w:szCs w:val="56"/>
        </w:rPr>
      </w:pPr>
    </w:p>
    <w:p>
      <w:pPr>
        <w:pStyle w:val="11"/>
        <w:spacing w:line="520" w:lineRule="exact"/>
        <w:outlineLvl w:val="0"/>
        <w:rPr>
          <w:rFonts w:ascii="仿宋_GB2312" w:hAnsi="仿宋_GB2312" w:cs="仿宋_GB2312"/>
          <w:b/>
          <w:sz w:val="28"/>
          <w:szCs w:val="28"/>
        </w:rPr>
      </w:pPr>
      <w:r>
        <w:rPr>
          <w:rFonts w:hint="eastAsia"/>
          <w:b/>
          <w:sz w:val="28"/>
          <w:szCs w:val="28"/>
        </w:rPr>
        <w:t>第一部分益阳市资阳区住房和城乡建设局单位概况</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2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2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outlineLvl w:val="0"/>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outlineLvl w:val="0"/>
        <w:rPr>
          <w:sz w:val="72"/>
          <w:szCs w:val="72"/>
        </w:rPr>
      </w:pPr>
      <w:r>
        <w:rPr>
          <w:rFonts w:ascii="黑体" w:hAnsi="黑体" w:eastAsia="黑体" w:cs="黑体"/>
          <w:b/>
          <w:color w:val="000000"/>
          <w:kern w:val="0"/>
          <w:sz w:val="28"/>
          <w:szCs w:val="28"/>
        </w:rPr>
        <w:t>第五部分附件</w:t>
      </w:r>
    </w:p>
    <w:p>
      <w:pPr>
        <w:pStyle w:val="11"/>
        <w:ind w:left="1760" w:hanging="1760" w:hangingChars="400"/>
        <w:outlineLvl w:val="0"/>
        <w:rPr>
          <w:sz w:val="44"/>
          <w:szCs w:val="44"/>
        </w:rPr>
      </w:pPr>
      <w:r>
        <w:rPr>
          <w:rFonts w:hint="eastAsia"/>
          <w:sz w:val="44"/>
          <w:szCs w:val="44"/>
        </w:rPr>
        <w:t>第一部分益阳市资阳区住房和城乡建设局单位概况</w:t>
      </w:r>
    </w:p>
    <w:p>
      <w:pPr>
        <w:pStyle w:val="12"/>
        <w:numPr>
          <w:ilvl w:val="0"/>
          <w:numId w:val="1"/>
        </w:numPr>
        <w:ind w:firstLineChars="0"/>
        <w:jc w:val="left"/>
        <w:outlineLvl w:val="1"/>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jc w:val="left"/>
        <w:rPr>
          <w:rFonts w:asciiTheme="minorEastAsia" w:hAnsiTheme="minorEastAsia"/>
          <w:sz w:val="32"/>
          <w:szCs w:val="32"/>
        </w:rPr>
      </w:pPr>
      <w:r>
        <w:rPr>
          <w:rFonts w:hint="eastAsia" w:asciiTheme="minorEastAsia" w:hAnsiTheme="minorEastAsia"/>
          <w:sz w:val="32"/>
          <w:szCs w:val="32"/>
        </w:rPr>
        <w:t>（一）</w:t>
      </w:r>
      <w:r>
        <w:rPr>
          <w:rFonts w:hint="eastAsia" w:ascii="宋体" w:hAnsi="宋体" w:eastAsia="宋体" w:cs="Times New Roman"/>
          <w:sz w:val="32"/>
          <w:szCs w:val="32"/>
        </w:rPr>
        <w:t>贯彻执行住房保障、城乡建设、房地产管理工作的方针政策和法律法规，拟定相关政策措施、发展规划、工作计划并组织实施；参与编制国土空间规划、城镇体系规划等。</w:t>
      </w:r>
    </w:p>
    <w:p>
      <w:pPr>
        <w:ind w:firstLine="640" w:firstLineChars="200"/>
        <w:jc w:val="left"/>
        <w:rPr>
          <w:rFonts w:asciiTheme="minorEastAsia" w:hAnsiTheme="minorEastAsia"/>
          <w:sz w:val="32"/>
          <w:szCs w:val="32"/>
        </w:rPr>
      </w:pPr>
      <w:r>
        <w:rPr>
          <w:rFonts w:hint="eastAsia" w:asciiTheme="minorEastAsia" w:hAnsiTheme="minorEastAsia"/>
          <w:sz w:val="32"/>
          <w:szCs w:val="32"/>
        </w:rPr>
        <w:t>（二）</w:t>
      </w:r>
      <w:r>
        <w:rPr>
          <w:rFonts w:hint="eastAsia" w:ascii="宋体" w:hAnsi="宋体" w:eastAsia="宋体" w:cs="Times New Roman"/>
          <w:sz w:val="32"/>
          <w:szCs w:val="32"/>
        </w:rPr>
        <w:t>负责推进全区新型城镇化工作，拟定全区推进新型城镇化政策措施和发展规划并指导督促实施。</w:t>
      </w:r>
    </w:p>
    <w:p>
      <w:pPr>
        <w:widowControl/>
        <w:spacing w:line="600" w:lineRule="exact"/>
        <w:ind w:firstLine="640" w:firstLineChars="200"/>
        <w:jc w:val="left"/>
        <w:rPr>
          <w:rFonts w:ascii="宋体" w:hAnsi="宋体" w:eastAsia="宋体" w:cs="Times New Roman"/>
          <w:sz w:val="32"/>
          <w:szCs w:val="32"/>
        </w:rPr>
      </w:pPr>
      <w:r>
        <w:rPr>
          <w:rFonts w:hint="eastAsia" w:ascii="宋体" w:hAnsi="宋体" w:eastAsia="宋体" w:cs="Times New Roman"/>
          <w:sz w:val="32"/>
          <w:szCs w:val="32"/>
        </w:rPr>
        <w:t>（三）负责全区城乡基础设施和公共服务设施建设管理工作，拟订中长期规划和年度计划并组织实施；指导、协调村镇建设、农村住房建设；负责城区背街小巷维修提质改造工作。</w:t>
      </w:r>
    </w:p>
    <w:p>
      <w:pPr>
        <w:widowControl/>
        <w:spacing w:line="600" w:lineRule="exact"/>
        <w:ind w:firstLine="480" w:firstLineChars="150"/>
        <w:jc w:val="left"/>
        <w:rPr>
          <w:rFonts w:ascii="宋体" w:hAnsi="宋体" w:eastAsia="宋体" w:cs="Times New Roman"/>
          <w:sz w:val="32"/>
          <w:szCs w:val="32"/>
        </w:rPr>
      </w:pPr>
      <w:r>
        <w:rPr>
          <w:rFonts w:hint="eastAsia" w:ascii="宋体" w:hAnsi="宋体" w:eastAsia="宋体" w:cs="Times New Roman"/>
          <w:sz w:val="32"/>
          <w:szCs w:val="32"/>
        </w:rPr>
        <w:t>（四）负责全区建筑行业管理，拟订行业发展规划；归口管理区属建筑企业行业；负责区辖范围内建筑工程的报建管理、工程质量安全监督、工程竣工验收备案等工作。</w:t>
      </w:r>
    </w:p>
    <w:p>
      <w:pPr>
        <w:widowControl/>
        <w:spacing w:line="600" w:lineRule="exact"/>
        <w:ind w:firstLine="480" w:firstLineChars="150"/>
        <w:jc w:val="left"/>
        <w:rPr>
          <w:rFonts w:ascii="宋体" w:hAnsi="宋体" w:eastAsia="宋体" w:cs="Times New Roman"/>
          <w:sz w:val="32"/>
          <w:szCs w:val="32"/>
        </w:rPr>
      </w:pPr>
      <w:r>
        <w:rPr>
          <w:rFonts w:hint="eastAsia" w:ascii="宋体" w:hAnsi="宋体" w:eastAsia="宋体" w:cs="Times New Roman"/>
          <w:sz w:val="32"/>
          <w:szCs w:val="32"/>
        </w:rPr>
        <w:t>（五）负责全区房地产业管理工作，指导规范房地产市场秩序；负责区辖范围内房屋安全鉴定管理、白蚁防治工作；负责全区住房制度改革、公有住房出售及住房维修资金管理工作。</w:t>
      </w:r>
    </w:p>
    <w:p>
      <w:pPr>
        <w:widowControl/>
        <w:spacing w:line="600" w:lineRule="exact"/>
        <w:ind w:firstLine="640" w:firstLineChars="200"/>
        <w:jc w:val="left"/>
        <w:rPr>
          <w:rFonts w:ascii="宋体" w:hAnsi="宋体" w:eastAsia="宋体" w:cs="Times New Roman"/>
          <w:sz w:val="32"/>
          <w:szCs w:val="32"/>
        </w:rPr>
      </w:pPr>
      <w:r>
        <w:rPr>
          <w:rFonts w:hint="eastAsia" w:ascii="宋体" w:hAnsi="宋体" w:eastAsia="宋体" w:cs="Times New Roman"/>
          <w:sz w:val="32"/>
          <w:szCs w:val="32"/>
        </w:rPr>
        <w:t>（六）负责全区住房保障和保障性安居工程工作，负责城区范围内直管公房及保障性住房的经营、管理和维修工作。</w:t>
      </w:r>
    </w:p>
    <w:p>
      <w:pPr>
        <w:widowControl/>
        <w:spacing w:line="600" w:lineRule="exact"/>
        <w:ind w:firstLine="640" w:firstLineChars="200"/>
        <w:jc w:val="left"/>
        <w:rPr>
          <w:rFonts w:ascii="宋体" w:hAnsi="宋体" w:eastAsia="宋体" w:cs="Times New Roman"/>
          <w:sz w:val="32"/>
          <w:szCs w:val="32"/>
        </w:rPr>
      </w:pPr>
      <w:r>
        <w:rPr>
          <w:rFonts w:hint="eastAsia" w:ascii="宋体" w:hAnsi="宋体" w:eastAsia="宋体" w:cs="Times New Roman"/>
          <w:sz w:val="32"/>
          <w:szCs w:val="32"/>
        </w:rPr>
        <w:t>（七）负责全区城乡生活污水、生活垃圾减排工作，组织或参与城乡生活污水、生活垃圾处理设施建设和重大减排项目。</w:t>
      </w:r>
    </w:p>
    <w:p>
      <w:pPr>
        <w:widowControl/>
        <w:spacing w:line="600" w:lineRule="exact"/>
        <w:ind w:firstLine="640" w:firstLineChars="200"/>
        <w:jc w:val="left"/>
        <w:rPr>
          <w:rFonts w:ascii="宋体" w:hAnsi="宋体" w:eastAsia="宋体" w:cs="Times New Roman"/>
          <w:sz w:val="32"/>
          <w:szCs w:val="32"/>
        </w:rPr>
      </w:pPr>
      <w:r>
        <w:rPr>
          <w:rFonts w:hint="eastAsia" w:ascii="宋体" w:hAnsi="宋体" w:eastAsia="宋体" w:cs="Times New Roman"/>
          <w:sz w:val="32"/>
          <w:szCs w:val="32"/>
        </w:rPr>
        <w:t>（八）负责全区房屋建筑和市政工程质量安全监管，贯彻执行有关工程质量、安全生产的政策和法律法规；组织或参与建筑工程安全事故调查处理工作；协助查处各类违法违规行为。</w:t>
      </w:r>
    </w:p>
    <w:p>
      <w:pPr>
        <w:widowControl/>
        <w:spacing w:line="600" w:lineRule="exact"/>
        <w:ind w:firstLine="640" w:firstLineChars="200"/>
        <w:jc w:val="left"/>
        <w:rPr>
          <w:rFonts w:ascii="宋体" w:hAnsi="宋体" w:eastAsia="宋体" w:cs="Times New Roman"/>
          <w:sz w:val="32"/>
          <w:szCs w:val="32"/>
        </w:rPr>
      </w:pPr>
      <w:r>
        <w:rPr>
          <w:rFonts w:hint="eastAsia" w:ascii="宋体" w:hAnsi="宋体" w:eastAsia="宋体" w:cs="Times New Roman"/>
          <w:sz w:val="32"/>
          <w:szCs w:val="32"/>
        </w:rPr>
        <w:t>（九）负责全区燃气行业的监督管理，组织开展燃气安全宣传教育和管理技术人员的培训；组织协调燃气企业安全事故的调查和处理。</w:t>
      </w:r>
    </w:p>
    <w:p>
      <w:pPr>
        <w:widowControl/>
        <w:spacing w:line="600" w:lineRule="exact"/>
        <w:ind w:firstLine="640" w:firstLineChars="200"/>
        <w:jc w:val="left"/>
        <w:rPr>
          <w:rFonts w:asciiTheme="minorEastAsia" w:hAnsiTheme="minorEastAsia"/>
          <w:sz w:val="32"/>
          <w:szCs w:val="32"/>
        </w:rPr>
      </w:pPr>
      <w:r>
        <w:rPr>
          <w:rFonts w:hint="eastAsia" w:ascii="宋体" w:hAnsi="宋体" w:eastAsia="宋体" w:cs="Times New Roman"/>
          <w:sz w:val="32"/>
          <w:szCs w:val="32"/>
        </w:rPr>
        <w:t>（十）完成区委、区政府交办的其他任务。</w:t>
      </w:r>
    </w:p>
    <w:p>
      <w:pPr>
        <w:widowControl/>
        <w:spacing w:line="600" w:lineRule="exact"/>
        <w:rPr>
          <w:rFonts w:hint="eastAsia" w:asciiTheme="minorEastAsia" w:hAnsiTheme="minorEastAsia"/>
          <w:bCs/>
          <w:kern w:val="0"/>
          <w:sz w:val="32"/>
          <w:szCs w:val="32"/>
        </w:rPr>
      </w:pPr>
    </w:p>
    <w:p>
      <w:pPr>
        <w:widowControl/>
        <w:spacing w:line="600" w:lineRule="exact"/>
        <w:rPr>
          <w:rFonts w:ascii="仿宋_GB2312" w:eastAsia="仿宋_GB2312" w:hAnsiTheme="minorEastAsia"/>
          <w:sz w:val="28"/>
          <w:szCs w:val="32"/>
        </w:rPr>
      </w:pPr>
    </w:p>
    <w:p>
      <w:pPr>
        <w:widowControl/>
        <w:spacing w:line="600" w:lineRule="exact"/>
        <w:outlineLvl w:val="1"/>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（一）内设机构设置。益阳市</w:t>
      </w:r>
      <w:r>
        <w:rPr>
          <w:rFonts w:asciiTheme="minorEastAsia" w:hAnsiTheme="minorEastAsia"/>
          <w:bCs/>
          <w:kern w:val="0"/>
          <w:sz w:val="32"/>
          <w:szCs w:val="32"/>
        </w:rPr>
        <w:t>资阳区住房和城乡建设局</w:t>
      </w:r>
      <w:r>
        <w:rPr>
          <w:rFonts w:hint="eastAsia" w:asciiTheme="minorEastAsia" w:hAnsiTheme="minorEastAsia"/>
          <w:bCs/>
          <w:kern w:val="0"/>
          <w:sz w:val="32"/>
          <w:szCs w:val="32"/>
        </w:rPr>
        <w:t>单位内设机构包括：</w:t>
      </w:r>
    </w:p>
    <w:p>
      <w:pPr>
        <w:widowControl/>
        <w:spacing w:before="156" w:after="156" w:line="360" w:lineRule="auto"/>
        <w:ind w:firstLine="600" w:firstLineChars="200"/>
        <w:jc w:val="left"/>
        <w:rPr>
          <w:rFonts w:ascii="宋体" w:hAnsi="宋体" w:eastAsia="宋体" w:cs="宋体"/>
          <w:color w:val="666666"/>
          <w:kern w:val="0"/>
          <w:sz w:val="30"/>
          <w:szCs w:val="30"/>
        </w:rPr>
      </w:pPr>
      <w:r>
        <w:rPr>
          <w:rFonts w:hint="eastAsia" w:ascii="宋体" w:hAnsi="宋体" w:cs="宋体"/>
          <w:color w:val="666666"/>
          <w:kern w:val="0"/>
          <w:sz w:val="30"/>
          <w:szCs w:val="30"/>
        </w:rPr>
        <w:t>1、</w:t>
      </w:r>
      <w:r>
        <w:rPr>
          <w:rFonts w:hint="eastAsia" w:ascii="宋体" w:hAnsi="宋体" w:eastAsia="宋体" w:cs="宋体"/>
          <w:color w:val="666666"/>
          <w:kern w:val="0"/>
          <w:sz w:val="30"/>
          <w:szCs w:val="30"/>
        </w:rPr>
        <w:t>综合办公室（综合统计办）</w:t>
      </w:r>
      <w:r>
        <w:rPr>
          <w:rFonts w:hint="eastAsia" w:ascii="宋体" w:hAnsi="宋体" w:cs="宋体"/>
          <w:color w:val="666666"/>
          <w:kern w:val="0"/>
          <w:sz w:val="30"/>
          <w:szCs w:val="30"/>
        </w:rPr>
        <w:t xml:space="preserve">  </w:t>
      </w:r>
      <w:r>
        <w:rPr>
          <w:rFonts w:hint="eastAsia" w:ascii="宋体" w:hAnsi="宋体" w:eastAsia="宋体" w:cs="宋体"/>
          <w:color w:val="666666"/>
          <w:kern w:val="0"/>
          <w:sz w:val="30"/>
          <w:szCs w:val="30"/>
        </w:rPr>
        <w:t>负责机关文电、会务、机要、保密、档案、信息、政务公开、公务接待等日常工作；负责应急管理工作；负责机关后勤服务管理工作；负责单位绩效考核、招商引资、立项争资、统计及项目跟踪服务工作；综合协调人大代表建议、政协委员提案办理工作；负责工会工作。</w:t>
      </w:r>
    </w:p>
    <w:p>
      <w:pPr>
        <w:widowControl/>
        <w:spacing w:before="156" w:after="156" w:line="360" w:lineRule="auto"/>
        <w:ind w:firstLine="600" w:firstLineChars="200"/>
        <w:jc w:val="left"/>
        <w:rPr>
          <w:rFonts w:ascii="宋体" w:hAnsi="宋体" w:eastAsia="宋体" w:cs="宋体"/>
          <w:color w:val="666666"/>
          <w:kern w:val="0"/>
          <w:sz w:val="30"/>
          <w:szCs w:val="30"/>
        </w:rPr>
      </w:pPr>
      <w:r>
        <w:rPr>
          <w:rFonts w:hint="eastAsia" w:ascii="宋体" w:hAnsi="宋体" w:cs="宋体"/>
          <w:color w:val="666666"/>
          <w:kern w:val="0"/>
          <w:sz w:val="30"/>
          <w:szCs w:val="30"/>
        </w:rPr>
        <w:t>2、</w:t>
      </w:r>
      <w:r>
        <w:rPr>
          <w:rFonts w:hint="eastAsia" w:ascii="宋体" w:hAnsi="宋体" w:eastAsia="宋体" w:cs="宋体"/>
          <w:color w:val="666666"/>
          <w:kern w:val="0"/>
          <w:sz w:val="30"/>
          <w:szCs w:val="30"/>
        </w:rPr>
        <w:t>组织人事股</w:t>
      </w:r>
      <w:r>
        <w:rPr>
          <w:rFonts w:hint="eastAsia" w:ascii="宋体" w:hAnsi="宋体" w:cs="宋体"/>
          <w:color w:val="666666"/>
          <w:kern w:val="0"/>
          <w:sz w:val="30"/>
          <w:szCs w:val="30"/>
        </w:rPr>
        <w:t xml:space="preserve">  </w:t>
      </w:r>
      <w:r>
        <w:rPr>
          <w:rFonts w:hint="eastAsia" w:ascii="宋体" w:hAnsi="宋体" w:eastAsia="宋体" w:cs="宋体"/>
          <w:color w:val="666666"/>
          <w:kern w:val="0"/>
          <w:sz w:val="30"/>
          <w:szCs w:val="30"/>
        </w:rPr>
        <w:t>负责机关及直属单位党务、组织人事、机构编制、宣传、统战、共青团、关心下一代、离退休人员管理服务等工作。</w:t>
      </w:r>
    </w:p>
    <w:p>
      <w:pPr>
        <w:widowControl/>
        <w:spacing w:before="156" w:after="156" w:line="360" w:lineRule="auto"/>
        <w:ind w:firstLine="600" w:firstLineChars="200"/>
        <w:jc w:val="left"/>
        <w:rPr>
          <w:rFonts w:ascii="宋体" w:hAnsi="宋体" w:eastAsia="宋体" w:cs="宋体"/>
          <w:color w:val="666666"/>
          <w:kern w:val="0"/>
          <w:sz w:val="30"/>
          <w:szCs w:val="30"/>
        </w:rPr>
      </w:pPr>
      <w:r>
        <w:rPr>
          <w:rFonts w:hint="eastAsia" w:ascii="宋体" w:hAnsi="宋体" w:cs="宋体"/>
          <w:color w:val="666666"/>
          <w:kern w:val="0"/>
          <w:sz w:val="30"/>
          <w:szCs w:val="30"/>
        </w:rPr>
        <w:t>3、</w:t>
      </w:r>
      <w:r>
        <w:rPr>
          <w:rFonts w:hint="eastAsia" w:ascii="宋体" w:hAnsi="宋体" w:eastAsia="宋体" w:cs="宋体"/>
          <w:color w:val="666666"/>
          <w:kern w:val="0"/>
          <w:sz w:val="30"/>
          <w:szCs w:val="30"/>
        </w:rPr>
        <w:t>财务股（区房改办）</w:t>
      </w:r>
      <w:r>
        <w:rPr>
          <w:rFonts w:hint="eastAsia" w:ascii="宋体" w:hAnsi="宋体" w:cs="宋体"/>
          <w:color w:val="666666"/>
          <w:kern w:val="0"/>
          <w:sz w:val="30"/>
          <w:szCs w:val="30"/>
        </w:rPr>
        <w:t xml:space="preserve">  </w:t>
      </w:r>
      <w:r>
        <w:rPr>
          <w:rFonts w:hint="eastAsia" w:ascii="宋体" w:hAnsi="宋体" w:eastAsia="宋体" w:cs="宋体"/>
          <w:color w:val="666666"/>
          <w:kern w:val="0"/>
          <w:sz w:val="30"/>
          <w:szCs w:val="30"/>
        </w:rPr>
        <w:t>负责机关财务计划、财务管理、资金管理和税控联管工作；负责控购申报和固定资产清产核资工作；负责局属单位财务收支的审计监督工作；负责执行省、市相关房改法律、法规和政策；负责公有住房出售、申请房屋维修资金审核等房改遗留问题的处理工作。</w:t>
      </w:r>
    </w:p>
    <w:p>
      <w:pPr>
        <w:widowControl/>
        <w:spacing w:before="156" w:after="156" w:line="360" w:lineRule="auto"/>
        <w:ind w:firstLine="600" w:firstLineChars="200"/>
        <w:jc w:val="left"/>
        <w:rPr>
          <w:rFonts w:ascii="宋体" w:hAnsi="宋体" w:eastAsia="宋体" w:cs="宋体"/>
          <w:color w:val="666666"/>
          <w:kern w:val="0"/>
          <w:sz w:val="30"/>
          <w:szCs w:val="30"/>
        </w:rPr>
      </w:pPr>
      <w:r>
        <w:rPr>
          <w:rFonts w:hint="eastAsia" w:ascii="宋体" w:hAnsi="宋体" w:cs="宋体"/>
          <w:color w:val="666666"/>
          <w:kern w:val="0"/>
          <w:sz w:val="30"/>
          <w:szCs w:val="30"/>
        </w:rPr>
        <w:t>4、</w:t>
      </w:r>
      <w:r>
        <w:rPr>
          <w:rFonts w:hint="eastAsia" w:ascii="宋体" w:hAnsi="宋体" w:eastAsia="宋体" w:cs="宋体"/>
          <w:color w:val="666666"/>
          <w:kern w:val="0"/>
          <w:sz w:val="30"/>
          <w:szCs w:val="30"/>
        </w:rPr>
        <w:t>建设股（区农村危改办）</w:t>
      </w:r>
      <w:r>
        <w:rPr>
          <w:rFonts w:hint="eastAsia" w:ascii="宋体" w:hAnsi="宋体" w:cs="宋体"/>
          <w:color w:val="666666"/>
          <w:kern w:val="0"/>
          <w:sz w:val="30"/>
          <w:szCs w:val="30"/>
        </w:rPr>
        <w:t xml:space="preserve">  </w:t>
      </w:r>
      <w:r>
        <w:rPr>
          <w:rFonts w:hint="eastAsia" w:ascii="宋体" w:hAnsi="宋体" w:eastAsia="宋体" w:cs="宋体"/>
          <w:color w:val="666666"/>
          <w:kern w:val="0"/>
          <w:sz w:val="30"/>
          <w:szCs w:val="30"/>
        </w:rPr>
        <w:t>负责城乡基础设施建设工作；负责拟订全区城乡基础设施建设的规划和年度计划，组织实施并管理相关项目；负责城区背街小巷维修提质改造工作；负责区辖范围内的建设工程报建、施工许可、质量安全监督、工程竣工验收备案初审工作；负责全区农村危房改造工作。</w:t>
      </w:r>
    </w:p>
    <w:p>
      <w:pPr>
        <w:widowControl/>
        <w:spacing w:before="156" w:after="156" w:line="360" w:lineRule="auto"/>
        <w:ind w:firstLine="600" w:firstLineChars="200"/>
        <w:jc w:val="left"/>
        <w:rPr>
          <w:rFonts w:ascii="宋体" w:hAnsi="宋体" w:cs="宋体"/>
          <w:color w:val="666666"/>
          <w:kern w:val="0"/>
          <w:sz w:val="30"/>
          <w:szCs w:val="30"/>
        </w:rPr>
      </w:pPr>
      <w:r>
        <w:rPr>
          <w:rFonts w:hint="eastAsia" w:ascii="宋体" w:hAnsi="宋体" w:cs="宋体"/>
          <w:color w:val="666666"/>
          <w:kern w:val="0"/>
          <w:sz w:val="30"/>
          <w:szCs w:val="30"/>
        </w:rPr>
        <w:t>5、</w:t>
      </w:r>
      <w:r>
        <w:rPr>
          <w:rFonts w:hint="eastAsia" w:ascii="宋体" w:hAnsi="宋体" w:eastAsia="宋体" w:cs="宋体"/>
          <w:color w:val="666666"/>
          <w:kern w:val="0"/>
          <w:sz w:val="30"/>
          <w:szCs w:val="30"/>
        </w:rPr>
        <w:t>政策法规股（区燃气办、安全生产办）</w:t>
      </w:r>
      <w:r>
        <w:rPr>
          <w:rFonts w:hint="eastAsia" w:ascii="宋体" w:hAnsi="宋体" w:cs="宋体"/>
          <w:color w:val="666666"/>
          <w:kern w:val="0"/>
          <w:sz w:val="30"/>
          <w:szCs w:val="30"/>
        </w:rPr>
        <w:t xml:space="preserve">  </w:t>
      </w:r>
      <w:r>
        <w:rPr>
          <w:rFonts w:hint="eastAsia" w:ascii="宋体" w:hAnsi="宋体" w:eastAsia="宋体" w:cs="宋体"/>
          <w:color w:val="666666"/>
          <w:kern w:val="0"/>
          <w:sz w:val="30"/>
          <w:szCs w:val="30"/>
        </w:rPr>
        <w:t>负责住建系统法制宣传教育培训工作；负责单位行政许可、行政执法监督、行政复议和行政应诉工作；负责规范性文件合法性审查工作。负责政法和信访维稳工作。负责全区燃气行业的监督管理；组织开展燃气安全宣传教育和管理技术人员培训；组织协调燃气企业安全事故的调查和处理。负责拟订本系统安全生产工作规划、计划及应急预案并组织实施；协调、监督、调度本系统安全生产工作；组织或参与建筑工程安全事故的调查处理工作；协助查处各类违法违规行为。</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（二）决算单位构成。益阳市资阳区住房和城乡建设局单位2019年部门决算公开仅包括资阳区住建局单位本级</w:t>
      </w:r>
    </w:p>
    <w:p>
      <w:pPr>
        <w:widowControl/>
        <w:spacing w:line="600" w:lineRule="exact"/>
        <w:rPr>
          <w:rFonts w:asciiTheme="minorEastAsia" w:hAnsiTheme="minorEastAsia"/>
          <w:bCs/>
          <w:kern w:val="0"/>
          <w:sz w:val="32"/>
          <w:szCs w:val="32"/>
        </w:rPr>
      </w:pPr>
    </w:p>
    <w:p>
      <w:pPr>
        <w:widowControl/>
        <w:spacing w:line="600" w:lineRule="exact"/>
        <w:rPr>
          <w:rFonts w:asciiTheme="minorEastAsia" w:hAnsiTheme="minorEastAsia"/>
          <w:bCs/>
          <w:kern w:val="0"/>
          <w:sz w:val="32"/>
          <w:szCs w:val="32"/>
        </w:rPr>
      </w:pPr>
    </w:p>
    <w:p>
      <w:pPr>
        <w:widowControl/>
        <w:spacing w:line="600" w:lineRule="exact"/>
        <w:rPr>
          <w:rFonts w:asciiTheme="minorEastAsia" w:hAnsiTheme="minorEastAsia"/>
          <w:bCs/>
          <w:kern w:val="0"/>
          <w:sz w:val="32"/>
          <w:szCs w:val="32"/>
        </w:rPr>
      </w:pPr>
    </w:p>
    <w:p>
      <w:pPr>
        <w:pStyle w:val="11"/>
        <w:numPr>
          <w:ilvl w:val="0"/>
          <w:numId w:val="2"/>
        </w:numPr>
        <w:outlineLvl w:val="0"/>
        <w:rPr>
          <w:sz w:val="44"/>
          <w:szCs w:val="44"/>
        </w:rPr>
      </w:pPr>
      <w:r>
        <w:rPr>
          <w:rFonts w:hint="eastAsia"/>
          <w:sz w:val="44"/>
          <w:szCs w:val="44"/>
        </w:rPr>
        <w:t>部门决算表（见附表）</w:t>
      </w:r>
    </w:p>
    <w:p>
      <w:pPr>
        <w:pStyle w:val="11"/>
        <w:rPr>
          <w:sz w:val="44"/>
          <w:szCs w:val="44"/>
        </w:rPr>
      </w:pPr>
    </w:p>
    <w:p>
      <w:pPr>
        <w:pStyle w:val="11"/>
        <w:jc w:val="both"/>
        <w:outlineLvl w:val="0"/>
        <w:rPr>
          <w:sz w:val="48"/>
          <w:szCs w:val="48"/>
        </w:rPr>
      </w:pPr>
      <w:r>
        <w:rPr>
          <w:rFonts w:hint="eastAsia"/>
          <w:sz w:val="48"/>
          <w:szCs w:val="48"/>
        </w:rPr>
        <w:t>第三部分</w:t>
      </w:r>
      <w:r>
        <w:rPr>
          <w:sz w:val="48"/>
          <w:szCs w:val="48"/>
        </w:rPr>
        <w:t>2019</w:t>
      </w:r>
      <w:r>
        <w:rPr>
          <w:rFonts w:hint="eastAsia"/>
          <w:sz w:val="48"/>
          <w:szCs w:val="48"/>
        </w:rPr>
        <w:t>年度部门决算情况说明</w:t>
      </w:r>
    </w:p>
    <w:p>
      <w:pPr>
        <w:pStyle w:val="11"/>
        <w:outlineLvl w:val="1"/>
        <w:rPr>
          <w:rFonts w:hAnsi="黑体"/>
          <w:b/>
          <w:sz w:val="32"/>
          <w:szCs w:val="32"/>
        </w:rPr>
      </w:pPr>
      <w:r>
        <w:rPr>
          <w:rFonts w:hint="eastAsia" w:hAnsi="黑体"/>
          <w:b/>
          <w:sz w:val="32"/>
          <w:szCs w:val="32"/>
        </w:rPr>
        <w:t>一、收入支出决算总体情况说明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2019年度收入总计4808.59万元。与2018年相比，增加1443.97万元，增长 42.92%，主要是因为本年度其他收入增加了基础设施项目建设资金和保障性安居工程配套资金。</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2019年度支出总计4808.59万元。与2018年相比，增加230.15万元，增加5.03%，主要是因为本年度</w:t>
      </w:r>
      <w:r>
        <w:rPr>
          <w:rFonts w:hint="eastAsia" w:cs="仿宋" w:asciiTheme="minorEastAsia" w:hAnsiTheme="minorEastAsia" w:eastAsiaTheme="minorEastAsia"/>
          <w:color w:val="2B2B2B"/>
          <w:sz w:val="32"/>
          <w:szCs w:val="32"/>
          <w:shd w:val="clear" w:color="auto" w:fill="FFFFFF"/>
        </w:rPr>
        <w:t>人员基本工资增加，养老、医疗保险及住房公积金缴费基数增加，项目经费支出有所增减。</w:t>
      </w:r>
    </w:p>
    <w:p>
      <w:pPr>
        <w:pStyle w:val="11"/>
        <w:outlineLvl w:val="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本年收入合计4113.46万元，其中：财政拨款收入2192.84万元，占53.31%；无上级补助收入、事业收入、经营收入、附属单位上缴收入；其他收入1920.62万元，占46.69%。</w:t>
      </w:r>
    </w:p>
    <w:p>
      <w:pPr>
        <w:pStyle w:val="11"/>
        <w:outlineLvl w:val="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本年支出合计4492.79万元，其中：基本支出2999.82万元，占66.77%；项目支出1492.97万元，占33.23%；无上缴上级支出、经营支出、对附属单位补助支出。</w:t>
      </w:r>
    </w:p>
    <w:p>
      <w:pPr>
        <w:pStyle w:val="11"/>
        <w:outlineLvl w:val="1"/>
        <w:rPr>
          <w:rFonts w:hAnsi="黑体"/>
          <w:b/>
          <w:sz w:val="32"/>
          <w:szCs w:val="32"/>
        </w:rPr>
      </w:pPr>
      <w:r>
        <w:rPr>
          <w:rFonts w:hint="eastAsia" w:hAnsi="黑体"/>
          <w:b/>
          <w:sz w:val="32"/>
          <w:szCs w:val="32"/>
        </w:rPr>
        <w:t>四、财政拨款收入支出决算总体情况说明</w:t>
      </w:r>
    </w:p>
    <w:p>
      <w:pPr>
        <w:pStyle w:val="11"/>
        <w:ind w:firstLine="636"/>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2019年度财政拨款收入总计2858.14万元，与2018年相比，增加743.15万元,增长35.14%，主要是因为项目资金财政拨款收入增加。</w:t>
      </w:r>
    </w:p>
    <w:p>
      <w:pPr>
        <w:pStyle w:val="11"/>
        <w:ind w:firstLine="636"/>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2019年度财政拨款支出总计2858.14万元，与2018年相比，减少442.44万元,减少13.4%，主要是因为项目资金财政拨款支出有所减少。</w:t>
      </w:r>
    </w:p>
    <w:p>
      <w:pPr>
        <w:pStyle w:val="11"/>
        <w:rPr>
          <w:rFonts w:hAnsi="黑体"/>
          <w:b/>
          <w:sz w:val="32"/>
          <w:szCs w:val="32"/>
        </w:rPr>
      </w:pPr>
      <w:r>
        <w:rPr>
          <w:rFonts w:hint="eastAsia" w:hAnsi="黑体"/>
          <w:b/>
          <w:sz w:val="32"/>
          <w:szCs w:val="32"/>
        </w:rPr>
        <w:t>五、一般公共预算财政拨款支出决算情况说明</w:t>
      </w:r>
    </w:p>
    <w:p>
      <w:pPr>
        <w:pStyle w:val="11"/>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36"/>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2019年度财政拨款支出2563.87万元，占本年支出合计的53.32%，与2018年相比，财政拨款支出减少685.71万元，减少21.1%，主要是因为项目资金财政拨款支出有所减少。</w:t>
      </w:r>
    </w:p>
    <w:p>
      <w:pPr>
        <w:pStyle w:val="11"/>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color w:val="auto"/>
          <w:sz w:val="32"/>
          <w:szCs w:val="32"/>
        </w:rPr>
        <w:t>2563.87</w:t>
      </w:r>
      <w:r>
        <w:rPr>
          <w:rFonts w:hint="eastAsia" w:asciiTheme="minorEastAsia" w:hAnsiTheme="minorEastAsia" w:eastAsiaTheme="minorEastAsia"/>
          <w:sz w:val="32"/>
          <w:szCs w:val="32"/>
        </w:rPr>
        <w:t>万元，主要用于以下方面：社会保障就业支出22.41万元，占0.87%；卫生</w:t>
      </w:r>
      <w:r>
        <w:rPr>
          <w:rFonts w:asciiTheme="minorEastAsia" w:hAnsiTheme="minorEastAsia" w:eastAsiaTheme="minorEastAsia"/>
          <w:sz w:val="32"/>
          <w:szCs w:val="32"/>
        </w:rPr>
        <w:t>健康支出</w:t>
      </w:r>
      <w:r>
        <w:rPr>
          <w:rFonts w:hint="eastAsia" w:asciiTheme="minorEastAsia" w:hAnsiTheme="minorEastAsia" w:eastAsiaTheme="minorEastAsia"/>
          <w:sz w:val="32"/>
          <w:szCs w:val="32"/>
        </w:rPr>
        <w:t>20.49万元，占0.80%；节能环保支出279万元，占10.88%；城乡社区支出1442.84万元，占56.28%；农林水支出381.4万元，占14.88%；住房保障支出417.72万元，占16.29%。</w:t>
      </w:r>
    </w:p>
    <w:p>
      <w:pPr>
        <w:pStyle w:val="11"/>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2019年度财政拨款支出年初预算数为620.31万元，支出决算数</w:t>
      </w:r>
      <w:r>
        <w:rPr>
          <w:rFonts w:hint="eastAsia" w:asciiTheme="minorEastAsia" w:hAnsiTheme="minorEastAsia" w:eastAsiaTheme="minorEastAsia"/>
          <w:color w:val="000000" w:themeColor="text1"/>
          <w:sz w:val="32"/>
          <w:szCs w:val="32"/>
        </w:rPr>
        <w:t>为2563.87</w:t>
      </w:r>
      <w:r>
        <w:rPr>
          <w:rFonts w:hint="eastAsia" w:asciiTheme="minorEastAsia" w:hAnsiTheme="minorEastAsia" w:eastAsiaTheme="minorEastAsia"/>
          <w:sz w:val="32"/>
          <w:szCs w:val="32"/>
        </w:rPr>
        <w:t>万元，完成年初预算的413.32%，支出决算数大于预算数的原因是年中追加预算安排支出。其中：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1、社会保障和就业支出  年初预算为22万元，支出决算为22.41万元，完成年初预算的101.86%，决算数大于年初预算数的主要原因是人员异动；</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2080505 机关事业单位基本养老保险缴费支出  主要用于缴纳单位基本养老保险，完成年初预算的100%；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2089901 其他社会保障和就业支出  主要用于缴纳单位基本养老保险，完成年初预算的100%；</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2、卫生健康支出 年初预算为20.49万元，支出决算为20.49万元，完成年初预算的100%；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2101101行政单位医疗  主要用于缴纳单位基本医疗保险，完成年初预算的100%；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3、节能环保支出  年初预算为0万元，支出决算为279万元，为年中追加经费；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2119901其他节能环保支出  主要用于城市管网及污水治理补助支出，为年中追加经费；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4、城乡社区支出  年初预算为561.62万元，支出决算为1442.84万元，完成年初预算的256.91%，决算数大于年初预算数的主要原因是年中追加了其他城乡社区管理事务经费支出等；</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2120101行政运行  主要用于人员经费及日常公用开支，完成年初预算的100%；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2120199其他城乡社区管理事务支出  主要用于背街小巷建设和三微项目支出，年中追加部分经费；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2120303小城镇基础设施建设  主要用于乡镇小城镇建设工作经费支出，完成年初预算的100%；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2120399其他城乡社区公共设施支出  主要用于资阳区背街小巷维护费支出，完成年初预算的100%；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2129901其他城乡社区支出  主要用于新型城镇化建设支出，为年中追加经费；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5、农林水支出  年初预算为0万元，支出决算为381.4万元，决算数大于年初预算数的主要原因是农村危房改造补助资金为年中追加经费；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2130504农村基础设施建设  主要用于农村危房改造补助资金支出，为年中追加经费；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2130599其他扶贫支出  主要用于农村危房改造补助资金支出，为年中追加经费；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6、住房保障支出  年初预算为16.2万元，支出决算为417.72万元，完成年初预算的2578.52%，决算数大于年初预算数的主要原因是年中追加了农村危房改造补助资金；</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2210105农村危房改造  主要用于农村危房改造补助资金支出，为年中追加经费；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2210201住房公积金 主要用于单位配缴住房公积金，完成年初预算的100%。</w:t>
      </w:r>
    </w:p>
    <w:p>
      <w:pPr>
        <w:pStyle w:val="11"/>
        <w:outlineLvl w:val="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1070.9万元，其中：人员经费251.48万元，占基本支出的23.48%,主要包括基本工资、津贴补贴、奖金、社会保障缴费、住房公积金及其他工作福利支出等；公用经费819.42万元，占基本支出的76.52%，主要包括办公费、印刷费、咨询费、水电费、邮电费、差旅费、维修（护）费、会议费、培训费、公务接待费、公务用车运行维护费、办公设备购置等。</w:t>
      </w:r>
    </w:p>
    <w:p>
      <w:pPr>
        <w:pStyle w:val="11"/>
        <w:outlineLvl w:val="1"/>
        <w:rPr>
          <w:rFonts w:hAnsi="黑体"/>
          <w:b/>
          <w:sz w:val="32"/>
          <w:szCs w:val="32"/>
        </w:rPr>
      </w:pPr>
      <w:r>
        <w:rPr>
          <w:rFonts w:hint="eastAsia" w:hAnsi="黑体"/>
          <w:b/>
          <w:sz w:val="32"/>
          <w:szCs w:val="32"/>
        </w:rPr>
        <w:t>七、一般公共预算财政拨款三公经费支出决算情况说明</w:t>
      </w:r>
    </w:p>
    <w:p>
      <w:pPr>
        <w:pStyle w:val="11"/>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“三公”经费财政拨款支出预算为8万元，支出决算为0.94万元，完成预算的11.75%，其中：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因公出国（境）费支出预算为0万元，支出决算为0万元，完成预算的100%，决算数等于年初预算数</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万元，支出决算为0.24万元，完成预算的24%，决算数小于年初预算数的主要原因是严格按预算控制经费，厉行节约，控制开支，与上年相比减少0.11万元，减少31.43%,减少的主要原因是严格控制，压缩支出。</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color w:val="000000" w:themeColor="text1"/>
          <w:sz w:val="32"/>
          <w:szCs w:val="32"/>
        </w:rPr>
        <w:t>7万元</w:t>
      </w:r>
      <w:r>
        <w:rPr>
          <w:rFonts w:hint="eastAsia" w:asciiTheme="minorEastAsia" w:hAnsiTheme="minorEastAsia" w:eastAsiaTheme="minorEastAsia"/>
          <w:sz w:val="32"/>
          <w:szCs w:val="32"/>
        </w:rPr>
        <w:t>，支出决算为0.7万元，完成预算的10%，决算数小于年初预算数的主要原因是7月公务车辆已移交资阳区公务用车服务中心，与上年相比减少0.92万元，减少56.79%,减少的主要原因是7月公务车辆已移交资阳区公务用车服务中心。</w:t>
      </w:r>
    </w:p>
    <w:p>
      <w:pPr>
        <w:pStyle w:val="11"/>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2019年度“三公”经费财政拨款支出决算中，公务接待费支出决算0.24万元，占25.53%,因公出国（境）费支出决算0万元，占0%,公务用车购置费及运行维护费支出决算0.7万元，占74.47%。其中：</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1、因公出国（境）费支出决算为0万元，全年安排因公出国（境）团组0个，累计0人次,开支内容无</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2、公务接待费支出决算为0.24万元，全年共接待来访团组5个、来宾11人次，主要是省</w:t>
      </w:r>
      <w:r>
        <w:rPr>
          <w:rFonts w:asciiTheme="minorEastAsia" w:hAnsiTheme="minorEastAsia" w:eastAsiaTheme="minorEastAsia"/>
          <w:sz w:val="32"/>
          <w:szCs w:val="32"/>
        </w:rPr>
        <w:t>危改检查</w:t>
      </w:r>
      <w:r>
        <w:rPr>
          <w:rFonts w:hint="eastAsia" w:asciiTheme="minorEastAsia" w:hAnsiTheme="minorEastAsia" w:eastAsiaTheme="minorEastAsia"/>
          <w:sz w:val="32"/>
          <w:szCs w:val="32"/>
        </w:rPr>
        <w:t>等发生的接待支出。</w:t>
      </w:r>
    </w:p>
    <w:p>
      <w:pPr>
        <w:ind w:firstLine="800" w:firstLineChars="250"/>
        <w:rPr>
          <w:rFonts w:hint="eastAsia" w:cs="黑体" w:asciiTheme="minorEastAsia" w:hAnsiTheme="minorEastAsia" w:eastAsiaTheme="minorEastAsia"/>
          <w:color w:val="000000"/>
          <w:kern w:val="0"/>
          <w:sz w:val="32"/>
          <w:szCs w:val="32"/>
          <w:lang w:val="en-US" w:eastAsia="zh-CN"/>
        </w:rPr>
      </w:pPr>
      <w:r>
        <w:rPr>
          <w:rFonts w:hint="eastAsia" w:asciiTheme="minorEastAsia" w:hAnsiTheme="minorEastAsia"/>
          <w:sz w:val="32"/>
          <w:szCs w:val="32"/>
        </w:rPr>
        <w:t>3、公务用车购置费及运行维护费支出决算为0.7万元，其中：公务用车购置费0万元，没有更新公务用车</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公务用车运行维护费0.7万元，主要是公车</w:t>
      </w:r>
      <w:r>
        <w:rPr>
          <w:rFonts w:asciiTheme="minorEastAsia" w:hAnsiTheme="minorEastAsia"/>
          <w:sz w:val="32"/>
          <w:szCs w:val="32"/>
        </w:rPr>
        <w:t>的日常运行及维护</w:t>
      </w:r>
      <w:r>
        <w:rPr>
          <w:rFonts w:hint="eastAsia" w:asciiTheme="minorEastAsia" w:hAnsiTheme="minorEastAsia"/>
          <w:sz w:val="32"/>
          <w:szCs w:val="32"/>
        </w:rPr>
        <w:t>支出。</w:t>
      </w:r>
      <w:r>
        <w:rPr>
          <w:rFonts w:hint="eastAsia" w:asciiTheme="minorEastAsia" w:hAnsiTheme="minorEastAsia"/>
          <w:sz w:val="32"/>
          <w:szCs w:val="32"/>
          <w:lang w:val="en-US" w:eastAsia="zh-CN"/>
        </w:rPr>
        <w:t>2019年7月止</w:t>
      </w:r>
      <w:r>
        <w:rPr>
          <w:rFonts w:hint="eastAsia" w:asciiTheme="minorEastAsia" w:hAnsiTheme="minorEastAsia"/>
          <w:sz w:val="32"/>
          <w:szCs w:val="32"/>
        </w:rPr>
        <w:t>我单位公务用车保有量为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辆。由于公务用车机构改革，于2019年8月公车已交至机关事务管理局</w:t>
      </w:r>
      <w:bookmarkStart w:id="0" w:name="_GoBack"/>
      <w:bookmarkEnd w:id="0"/>
      <w:r>
        <w:rPr>
          <w:rFonts w:hint="eastAsia" w:asciiTheme="minorEastAsia" w:hAnsiTheme="minorEastAsia"/>
          <w:sz w:val="32"/>
          <w:szCs w:val="32"/>
          <w:lang w:val="en-US" w:eastAsia="zh-CN"/>
        </w:rPr>
        <w:t>。</w:t>
      </w:r>
    </w:p>
    <w:p>
      <w:pPr>
        <w:pStyle w:val="11"/>
        <w:outlineLvl w:val="1"/>
        <w:rPr>
          <w:rFonts w:hAnsi="黑体"/>
          <w:b/>
          <w:sz w:val="32"/>
          <w:szCs w:val="32"/>
        </w:rPr>
      </w:pPr>
      <w:r>
        <w:rPr>
          <w:rFonts w:hint="eastAsia" w:hAnsi="黑体"/>
          <w:b/>
          <w:sz w:val="32"/>
          <w:szCs w:val="32"/>
        </w:rPr>
        <w:t>八、政府性基金预算收入支出决算情况</w:t>
      </w:r>
    </w:p>
    <w:p>
      <w:pPr>
        <w:pStyle w:val="11"/>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2019年度本单位无政府性基金收支</w:t>
      </w:r>
    </w:p>
    <w:p>
      <w:pPr>
        <w:pStyle w:val="11"/>
        <w:outlineLvl w:val="1"/>
        <w:rPr>
          <w:rFonts w:hAnsi="黑体"/>
          <w:b/>
          <w:sz w:val="32"/>
          <w:szCs w:val="32"/>
        </w:rPr>
      </w:pPr>
      <w:r>
        <w:rPr>
          <w:rFonts w:hint="eastAsia" w:hAnsi="黑体"/>
          <w:b/>
          <w:sz w:val="32"/>
          <w:szCs w:val="32"/>
        </w:rPr>
        <w:t>九、关于2019年度预算绩效情况说明</w:t>
      </w:r>
    </w:p>
    <w:p>
      <w:pPr>
        <w:widowControl/>
        <w:spacing w:line="480" w:lineRule="auto"/>
        <w:ind w:firstLine="480"/>
        <w:jc w:val="left"/>
        <w:rPr>
          <w:rFonts w:cs="宋体" w:asciiTheme="minorEastAsia" w:hAnsiTheme="minorEastAsia"/>
          <w:color w:val="000000"/>
          <w:kern w:val="0"/>
          <w:sz w:val="32"/>
          <w:szCs w:val="32"/>
        </w:rPr>
      </w:pPr>
      <w:r>
        <w:rPr>
          <w:rFonts w:cs="宋体" w:asciiTheme="minorEastAsia" w:hAnsiTheme="minorEastAsia"/>
          <w:color w:val="000000"/>
          <w:kern w:val="0"/>
          <w:sz w:val="32"/>
          <w:szCs w:val="32"/>
        </w:rPr>
        <w:t>201</w:t>
      </w:r>
      <w:r>
        <w:rPr>
          <w:rFonts w:hint="eastAsia" w:cs="宋体" w:asciiTheme="minorEastAsia" w:hAnsiTheme="minorEastAsia"/>
          <w:color w:val="000000"/>
          <w:kern w:val="0"/>
          <w:sz w:val="32"/>
          <w:szCs w:val="32"/>
        </w:rPr>
        <w:t>9</w:t>
      </w:r>
      <w:r>
        <w:rPr>
          <w:rFonts w:cs="宋体" w:asciiTheme="minorEastAsia" w:hAnsiTheme="minorEastAsia"/>
          <w:color w:val="000000"/>
          <w:kern w:val="0"/>
          <w:sz w:val="32"/>
          <w:szCs w:val="32"/>
        </w:rPr>
        <w:t>年，本部门按照有关政策文件和</w:t>
      </w:r>
      <w:r>
        <w:rPr>
          <w:rFonts w:hint="eastAsia" w:cs="宋体" w:asciiTheme="minorEastAsia" w:hAnsiTheme="minorEastAsia"/>
          <w:color w:val="000000"/>
          <w:kern w:val="0"/>
          <w:sz w:val="32"/>
          <w:szCs w:val="32"/>
        </w:rPr>
        <w:t>区</w:t>
      </w:r>
      <w:r>
        <w:rPr>
          <w:rFonts w:cs="宋体" w:asciiTheme="minorEastAsia" w:hAnsiTheme="minorEastAsia"/>
          <w:color w:val="000000"/>
          <w:kern w:val="0"/>
          <w:sz w:val="32"/>
          <w:szCs w:val="32"/>
        </w:rPr>
        <w:t>财政局要求加强预算绩效管理工作，在编制201</w:t>
      </w:r>
      <w:r>
        <w:rPr>
          <w:rFonts w:hint="eastAsia" w:cs="宋体" w:asciiTheme="minorEastAsia" w:hAnsiTheme="minorEastAsia"/>
          <w:color w:val="000000"/>
          <w:kern w:val="0"/>
          <w:sz w:val="32"/>
          <w:szCs w:val="32"/>
        </w:rPr>
        <w:t>9</w:t>
      </w:r>
      <w:r>
        <w:rPr>
          <w:rFonts w:cs="宋体" w:asciiTheme="minorEastAsia" w:hAnsiTheme="minorEastAsia"/>
          <w:color w:val="000000"/>
          <w:kern w:val="0"/>
          <w:sz w:val="32"/>
          <w:szCs w:val="32"/>
        </w:rPr>
        <w:t>年部门预算时，本部门将所有预算资金纳入绩效目标管理，实现了绩效目标与部门预算同步编制、同步申报。</w:t>
      </w:r>
      <w:r>
        <w:rPr>
          <w:rFonts w:cs="Arial" w:asciiTheme="minorEastAsia" w:hAnsiTheme="minorEastAsia"/>
          <w:color w:val="333333"/>
          <w:sz w:val="32"/>
          <w:szCs w:val="32"/>
          <w:shd w:val="clear" w:color="auto" w:fill="FFFFFF"/>
        </w:rPr>
        <w:t>按照确定的职责，利用部门预算资金在一定期限内预期达到总体产出和效果。</w:t>
      </w:r>
    </w:p>
    <w:p>
      <w:pPr>
        <w:widowControl/>
        <w:spacing w:line="480" w:lineRule="auto"/>
        <w:ind w:firstLine="480"/>
        <w:jc w:val="left"/>
        <w:rPr>
          <w:rFonts w:cs="宋体" w:asciiTheme="minorEastAsia" w:hAnsiTheme="minorEastAsia"/>
          <w:color w:val="000000"/>
          <w:kern w:val="0"/>
          <w:sz w:val="32"/>
          <w:szCs w:val="32"/>
        </w:rPr>
      </w:pPr>
      <w:r>
        <w:rPr>
          <w:rFonts w:cs="宋体" w:asciiTheme="minorEastAsia" w:hAnsiTheme="minorEastAsia"/>
          <w:color w:val="000000"/>
          <w:kern w:val="0"/>
          <w:sz w:val="32"/>
          <w:szCs w:val="32"/>
        </w:rPr>
        <w:t>我部门及所属单位对部门整体支出和农村危房改造等项目开展跟踪监控，对存在的问题及时予以纠正。</w:t>
      </w:r>
      <w:r>
        <w:rPr>
          <w:rFonts w:asciiTheme="minorEastAsia" w:hAnsiTheme="minorEastAsia"/>
          <w:color w:val="000000"/>
          <w:sz w:val="32"/>
          <w:szCs w:val="32"/>
        </w:rPr>
        <w:t>组织召开了专题会议，制定了工作计划，成立了工作领导小组，组织开展绩效评价工作</w:t>
      </w:r>
      <w:r>
        <w:rPr>
          <w:rFonts w:cs="宋体" w:asciiTheme="minorEastAsia" w:hAnsiTheme="minorEastAsia"/>
          <w:color w:val="000000"/>
          <w:kern w:val="0"/>
          <w:sz w:val="32"/>
          <w:szCs w:val="32"/>
        </w:rPr>
        <w:t>，对201</w:t>
      </w:r>
      <w:r>
        <w:rPr>
          <w:rFonts w:hint="eastAsia" w:cs="宋体" w:asciiTheme="minorEastAsia" w:hAnsiTheme="minorEastAsia"/>
          <w:color w:val="000000"/>
          <w:kern w:val="0"/>
          <w:sz w:val="32"/>
          <w:szCs w:val="32"/>
        </w:rPr>
        <w:t>9</w:t>
      </w:r>
      <w:r>
        <w:rPr>
          <w:rFonts w:cs="宋体" w:asciiTheme="minorEastAsia" w:hAnsiTheme="minorEastAsia"/>
          <w:color w:val="000000"/>
          <w:kern w:val="0"/>
          <w:sz w:val="32"/>
          <w:szCs w:val="32"/>
        </w:rPr>
        <w:t>年部门整体支出和农村危房改造等项目开展了绩效自评。自评结果在本部门网站进行了公开</w:t>
      </w:r>
      <w:r>
        <w:rPr>
          <w:rFonts w:hint="eastAsia" w:cs="宋体" w:asciiTheme="minorEastAsia" w:hAnsiTheme="minorEastAsia"/>
          <w:color w:val="000000"/>
          <w:kern w:val="0"/>
          <w:sz w:val="32"/>
          <w:szCs w:val="32"/>
        </w:rPr>
        <w:t>。</w:t>
      </w:r>
    </w:p>
    <w:p>
      <w:pPr>
        <w:pStyle w:val="11"/>
        <w:outlineLvl w:val="1"/>
        <w:rPr>
          <w:rFonts w:hAnsi="黑体"/>
          <w:b/>
          <w:sz w:val="32"/>
          <w:szCs w:val="32"/>
        </w:rPr>
      </w:pPr>
      <w:r>
        <w:rPr>
          <w:rFonts w:hint="eastAsia" w:hAnsi="黑体"/>
          <w:b/>
          <w:sz w:val="32"/>
          <w:szCs w:val="32"/>
        </w:rPr>
        <w:t>十、其他重要事项情况说明</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年度机关运行经费支出2730.72万元，比年初预算数增加2700.1万元，增长8818.09%。主要原因是年中追加了预算</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2019年本部门开支会议费0万元；开支培训费1.25万元，用于开展</w:t>
      </w:r>
      <w:r>
        <w:rPr>
          <w:rFonts w:cs="黑体" w:asciiTheme="minorEastAsia" w:hAnsiTheme="minorEastAsia"/>
          <w:color w:val="000000"/>
          <w:kern w:val="0"/>
          <w:sz w:val="32"/>
          <w:szCs w:val="32"/>
        </w:rPr>
        <w:t>基层党建工作</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建设工程消防设计审查验收工作等</w:t>
      </w:r>
      <w:r>
        <w:rPr>
          <w:rFonts w:hint="eastAsia" w:cs="黑体" w:asciiTheme="minorEastAsia" w:hAnsiTheme="minorEastAsia"/>
          <w:color w:val="000000"/>
          <w:kern w:val="0"/>
          <w:sz w:val="32"/>
          <w:szCs w:val="32"/>
        </w:rPr>
        <w:t>培训，人数4人。</w:t>
      </w:r>
      <w:r>
        <w:rPr>
          <w:rFonts w:cs="黑体" w:asciiTheme="minorEastAsia" w:hAnsiTheme="minorEastAsia"/>
          <w:color w:val="000000"/>
          <w:kern w:val="0"/>
          <w:sz w:val="32"/>
          <w:szCs w:val="32"/>
        </w:rPr>
        <w:t xml:space="preserve"> </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36万元，其中：政府采购货物支出0万元、政府采购工程支出0万元、政府采购服务支出36万元。授予中小企业合同金额0万元，占政府采购支出总额的0%，其中：授予小微企业合同金额0万元，占政府采购支出总额的0%。</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ind w:firstLine="640" w:firstLineChars="200"/>
        <w:rPr>
          <w:rFonts w:cs="黑体" w:asciiTheme="minorEastAsia" w:hAnsiTheme="minorEastAsia"/>
          <w:color w:val="000000"/>
          <w:kern w:val="0"/>
          <w:sz w:val="32"/>
          <w:szCs w:val="32"/>
        </w:rPr>
      </w:pPr>
    </w:p>
    <w:p>
      <w:pPr>
        <w:pStyle w:val="11"/>
        <w:jc w:val="both"/>
        <w:outlineLvl w:val="0"/>
        <w:rPr>
          <w:sz w:val="44"/>
          <w:szCs w:val="44"/>
        </w:rPr>
      </w:pPr>
      <w:r>
        <w:rPr>
          <w:rFonts w:hint="eastAsia"/>
          <w:sz w:val="44"/>
          <w:szCs w:val="44"/>
        </w:rPr>
        <w:t>第四部分名词解释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pStyle w:val="11"/>
        <w:jc w:val="both"/>
        <w:outlineLvl w:val="0"/>
        <w:rPr>
          <w:sz w:val="44"/>
          <w:szCs w:val="44"/>
        </w:rPr>
      </w:pPr>
      <w:r>
        <w:rPr>
          <w:rFonts w:hint="eastAsia"/>
          <w:sz w:val="44"/>
          <w:szCs w:val="44"/>
        </w:rPr>
        <w:t>第五部分 附件</w:t>
      </w:r>
    </w:p>
    <w:p>
      <w:pPr>
        <w:keepNext/>
        <w:keepLines/>
        <w:ind w:firstLine="640"/>
        <w:rPr>
          <w:rFonts w:ascii="仿宋" w:hAnsi="仿宋" w:eastAsia="仿宋"/>
          <w:b/>
          <w:sz w:val="32"/>
          <w:highlight w:val="white"/>
        </w:rPr>
      </w:pPr>
      <w:r>
        <w:rPr>
          <w:rFonts w:hint="eastAsia" w:ascii="仿宋" w:hAnsi="仿宋" w:eastAsia="仿宋"/>
          <w:sz w:val="32"/>
          <w:highlight w:val="white"/>
        </w:rPr>
        <w:t>2019年度益阳市资阳区住房和城乡建设局部门决算公开表格</w:t>
      </w:r>
    </w:p>
    <w:p>
      <w:pPr>
        <w:widowControl/>
        <w:jc w:val="left"/>
        <w:rPr>
          <w:rFonts w:ascii="黑体" w:eastAsia="黑体" w:cs="黑体"/>
          <w:color w:val="000000"/>
          <w:kern w:val="0"/>
          <w:sz w:val="70"/>
          <w:szCs w:val="70"/>
        </w:rPr>
      </w:pPr>
    </w:p>
    <w:p>
      <w:pPr>
        <w:pStyle w:val="11"/>
        <w:rPr>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3FF76"/>
    <w:multiLevelType w:val="singleLevel"/>
    <w:tmpl w:val="83D3FF76"/>
    <w:lvl w:ilvl="0" w:tentative="0">
      <w:start w:val="2"/>
      <w:numFmt w:val="chineseCounting"/>
      <w:suff w:val="space"/>
      <w:lvlText w:val="第%1部分"/>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F6E1C2B"/>
    <w:rsid w:val="000226D6"/>
    <w:rsid w:val="00166BEB"/>
    <w:rsid w:val="001A58D5"/>
    <w:rsid w:val="001B1EB2"/>
    <w:rsid w:val="001C511D"/>
    <w:rsid w:val="002058EE"/>
    <w:rsid w:val="00214D07"/>
    <w:rsid w:val="00290A02"/>
    <w:rsid w:val="00355A64"/>
    <w:rsid w:val="00361748"/>
    <w:rsid w:val="003C5BCE"/>
    <w:rsid w:val="003D4AFE"/>
    <w:rsid w:val="0041225E"/>
    <w:rsid w:val="004269FB"/>
    <w:rsid w:val="00430E0E"/>
    <w:rsid w:val="0046556D"/>
    <w:rsid w:val="005F701E"/>
    <w:rsid w:val="006204DD"/>
    <w:rsid w:val="006315DC"/>
    <w:rsid w:val="006C20A1"/>
    <w:rsid w:val="006D24BC"/>
    <w:rsid w:val="006E36C9"/>
    <w:rsid w:val="006F12A8"/>
    <w:rsid w:val="007114ED"/>
    <w:rsid w:val="007171C7"/>
    <w:rsid w:val="00751C5E"/>
    <w:rsid w:val="00780E18"/>
    <w:rsid w:val="007B026F"/>
    <w:rsid w:val="007B4260"/>
    <w:rsid w:val="007D0935"/>
    <w:rsid w:val="007D4A15"/>
    <w:rsid w:val="007F042D"/>
    <w:rsid w:val="00855DDB"/>
    <w:rsid w:val="00862582"/>
    <w:rsid w:val="008B41B9"/>
    <w:rsid w:val="008C78C6"/>
    <w:rsid w:val="008D5057"/>
    <w:rsid w:val="009A5E44"/>
    <w:rsid w:val="009E526E"/>
    <w:rsid w:val="00A21834"/>
    <w:rsid w:val="00A5541E"/>
    <w:rsid w:val="00AA29B4"/>
    <w:rsid w:val="00AB066F"/>
    <w:rsid w:val="00AF56A5"/>
    <w:rsid w:val="00B32DCF"/>
    <w:rsid w:val="00BE16A5"/>
    <w:rsid w:val="00BE3B6A"/>
    <w:rsid w:val="00BF7C6A"/>
    <w:rsid w:val="00C037B1"/>
    <w:rsid w:val="00C32699"/>
    <w:rsid w:val="00C3278F"/>
    <w:rsid w:val="00CD40D3"/>
    <w:rsid w:val="00CE5676"/>
    <w:rsid w:val="00D072D7"/>
    <w:rsid w:val="00D21907"/>
    <w:rsid w:val="00DD4AE1"/>
    <w:rsid w:val="00DF61DF"/>
    <w:rsid w:val="00E16F85"/>
    <w:rsid w:val="00E1737B"/>
    <w:rsid w:val="00F15D8E"/>
    <w:rsid w:val="00F5310D"/>
    <w:rsid w:val="00F67903"/>
    <w:rsid w:val="00F90251"/>
    <w:rsid w:val="015A7297"/>
    <w:rsid w:val="032B5E43"/>
    <w:rsid w:val="036E123C"/>
    <w:rsid w:val="04F233F6"/>
    <w:rsid w:val="08864F04"/>
    <w:rsid w:val="0D137CB2"/>
    <w:rsid w:val="0F6E1C2B"/>
    <w:rsid w:val="206D6EE3"/>
    <w:rsid w:val="22D4227A"/>
    <w:rsid w:val="27373FE5"/>
    <w:rsid w:val="36313B69"/>
    <w:rsid w:val="3A804E10"/>
    <w:rsid w:val="3CF507C5"/>
    <w:rsid w:val="415356CE"/>
    <w:rsid w:val="47922311"/>
    <w:rsid w:val="49100321"/>
    <w:rsid w:val="4E646EC4"/>
    <w:rsid w:val="4F784BC7"/>
    <w:rsid w:val="51194F31"/>
    <w:rsid w:val="5AE11096"/>
    <w:rsid w:val="5F020277"/>
    <w:rsid w:val="6F1973E2"/>
    <w:rsid w:val="749261B6"/>
    <w:rsid w:val="77931FE8"/>
    <w:rsid w:val="7D8823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rFonts w:eastAsia="黑体"/>
      <w:b/>
      <w:kern w:val="44"/>
      <w:sz w:val="32"/>
    </w:rPr>
  </w:style>
  <w:style w:type="paragraph" w:styleId="3">
    <w:name w:val="heading 2"/>
    <w:basedOn w:val="1"/>
    <w:next w:val="1"/>
    <w:semiHidden/>
    <w:unhideWhenUsed/>
    <w:qFormat/>
    <w:uiPriority w:val="0"/>
    <w:pPr>
      <w:keepNext/>
      <w:keepLines/>
      <w:ind w:firstLine="880" w:firstLineChars="200"/>
      <w:outlineLvl w:val="1"/>
    </w:pPr>
    <w:rPr>
      <w:rFonts w:ascii="Arial" w:hAnsi="Arial" w:eastAsia="黑体"/>
    </w:rPr>
  </w:style>
  <w:style w:type="paragraph" w:styleId="4">
    <w:name w:val="heading 3"/>
    <w:basedOn w:val="1"/>
    <w:next w:val="1"/>
    <w:semiHidden/>
    <w:unhideWhenUsed/>
    <w:qFormat/>
    <w:uiPriority w:val="0"/>
    <w:pPr>
      <w:keepNext/>
      <w:keepLines/>
      <w:ind w:firstLine="880" w:firstLineChars="200"/>
      <w:outlineLvl w:val="2"/>
    </w:pPr>
    <w:rPr>
      <w:rFonts w:eastAsia="黑体"/>
    </w:rPr>
  </w:style>
  <w:style w:type="paragraph" w:styleId="5">
    <w:name w:val="heading 4"/>
    <w:basedOn w:val="1"/>
    <w:next w:val="1"/>
    <w:semiHidden/>
    <w:unhideWhenUsed/>
    <w:qFormat/>
    <w:uiPriority w:val="0"/>
    <w:pPr>
      <w:keepNext/>
      <w:keepLines/>
      <w:outlineLvl w:val="3"/>
    </w:pPr>
    <w:rPr>
      <w:rFonts w:ascii="Arial" w:hAnsi="Arial" w:eastAsia="黑体"/>
    </w:rPr>
  </w:style>
  <w:style w:type="paragraph" w:styleId="6">
    <w:name w:val="heading 5"/>
    <w:basedOn w:val="1"/>
    <w:next w:val="1"/>
    <w:semiHidden/>
    <w:unhideWhenUsed/>
    <w:qFormat/>
    <w:uiPriority w:val="0"/>
    <w:pPr>
      <w:keepNext/>
      <w:keepLines/>
      <w:outlineLvl w:val="4"/>
    </w:pPr>
    <w:rPr>
      <w:b/>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7">
    <w:name w:val="footer"/>
    <w:basedOn w:val="1"/>
    <w:unhideWhenUsed/>
    <w:uiPriority w:val="99"/>
    <w:pPr>
      <w:tabs>
        <w:tab w:val="center" w:pos="4153"/>
        <w:tab w:val="right" w:pos="8306"/>
      </w:tabs>
      <w:snapToGrid w:val="0"/>
      <w:jc w:val="left"/>
    </w:pPr>
    <w:rPr>
      <w:rFonts w:hint="eastAsia"/>
      <w:sz w:val="18"/>
    </w:rPr>
  </w:style>
  <w:style w:type="paragraph" w:styleId="8">
    <w:name w:val="header"/>
    <w:basedOn w:val="1"/>
    <w:unhideWhenUsed/>
    <w:uiPriority w:val="99"/>
    <w:pPr>
      <w:pBdr>
        <w:bottom w:val="single" w:color="auto" w:sz="6" w:space="1"/>
      </w:pBdr>
      <w:tabs>
        <w:tab w:val="center" w:pos="4153"/>
        <w:tab w:val="right" w:pos="8306"/>
      </w:tabs>
      <w:snapToGrid w:val="0"/>
      <w:jc w:val="center"/>
    </w:pPr>
    <w:rPr>
      <w:rFonts w:hint="eastAsia"/>
      <w:sz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1000</Words>
  <Characters>5703</Characters>
  <Lines>47</Lines>
  <Paragraphs>13</Paragraphs>
  <TotalTime>6</TotalTime>
  <ScaleCrop>false</ScaleCrop>
  <LinksUpToDate>false</LinksUpToDate>
  <CharactersWithSpaces>6690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2020-09-24T07:45:00Z</dcterms:created>
  <dc:creator>瓜老東童鞋</dc:creator>
  <cp:lastModifiedBy>Administrator</cp:lastModifiedBy>
  <cp:lastPrinted>2020-09-23T03:39:00Z</cp:lastPrinted>
  <dcterms:modified xsi:type="dcterms:W3CDTF">2021-06-23T03:30:12Z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877FD70A77474B85A5C081F16A9EAB88</vt:lpwstr>
  </property>
</Properties>
</file>