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C2AA3" w14:textId="77777777" w:rsidR="00370C84" w:rsidRPr="00703A91" w:rsidRDefault="00370C84" w:rsidP="00703A91">
      <w:pPr>
        <w:pStyle w:val="Default"/>
      </w:pPr>
    </w:p>
    <w:p w14:paraId="45FC8A07" w14:textId="77777777" w:rsidR="00370C84" w:rsidRDefault="00370C84">
      <w:pPr>
        <w:pStyle w:val="Default"/>
        <w:jc w:val="center"/>
        <w:rPr>
          <w:sz w:val="84"/>
          <w:szCs w:val="84"/>
        </w:rPr>
      </w:pPr>
    </w:p>
    <w:p w14:paraId="04480E15" w14:textId="77777777" w:rsidR="00370C84" w:rsidRDefault="00370C84">
      <w:pPr>
        <w:pStyle w:val="Default"/>
        <w:jc w:val="center"/>
        <w:rPr>
          <w:sz w:val="84"/>
          <w:szCs w:val="84"/>
        </w:rPr>
      </w:pPr>
    </w:p>
    <w:p w14:paraId="5B50DF71" w14:textId="77777777" w:rsidR="00370C84" w:rsidRDefault="00370C84">
      <w:pPr>
        <w:pStyle w:val="Default"/>
        <w:jc w:val="center"/>
        <w:rPr>
          <w:sz w:val="84"/>
          <w:szCs w:val="84"/>
        </w:rPr>
      </w:pPr>
    </w:p>
    <w:p w14:paraId="4898EB82" w14:textId="77777777" w:rsidR="00370C84" w:rsidRDefault="00703A91">
      <w:pPr>
        <w:pStyle w:val="Default"/>
        <w:jc w:val="center"/>
        <w:rPr>
          <w:sz w:val="84"/>
          <w:szCs w:val="84"/>
        </w:rPr>
      </w:pPr>
      <w:r>
        <w:rPr>
          <w:rFonts w:hint="eastAsia"/>
          <w:sz w:val="84"/>
          <w:szCs w:val="84"/>
        </w:rPr>
        <w:t>2019年度</w:t>
      </w:r>
    </w:p>
    <w:p w14:paraId="2D8FC4ED" w14:textId="77777777" w:rsidR="00370C84" w:rsidRDefault="00703A91">
      <w:pPr>
        <w:pStyle w:val="Default"/>
        <w:jc w:val="center"/>
        <w:rPr>
          <w:sz w:val="84"/>
          <w:szCs w:val="84"/>
        </w:rPr>
      </w:pPr>
      <w:r>
        <w:rPr>
          <w:rFonts w:hint="eastAsia"/>
          <w:sz w:val="84"/>
          <w:szCs w:val="84"/>
        </w:rPr>
        <w:t>资阳区财政干部教育中心单位部门决算</w:t>
      </w:r>
    </w:p>
    <w:p w14:paraId="7F8284BF" w14:textId="77777777" w:rsidR="00370C84" w:rsidRDefault="00370C84">
      <w:pPr>
        <w:pStyle w:val="Default"/>
        <w:jc w:val="center"/>
        <w:rPr>
          <w:sz w:val="56"/>
          <w:szCs w:val="56"/>
        </w:rPr>
      </w:pPr>
    </w:p>
    <w:p w14:paraId="4D2B8C9F" w14:textId="77777777" w:rsidR="00370C84" w:rsidRDefault="00370C84">
      <w:pPr>
        <w:pStyle w:val="Default"/>
        <w:jc w:val="center"/>
        <w:rPr>
          <w:sz w:val="56"/>
          <w:szCs w:val="56"/>
        </w:rPr>
      </w:pPr>
    </w:p>
    <w:p w14:paraId="1ABE85B5" w14:textId="77777777" w:rsidR="00370C84" w:rsidRDefault="00370C84">
      <w:pPr>
        <w:pStyle w:val="Default"/>
        <w:jc w:val="center"/>
        <w:rPr>
          <w:sz w:val="56"/>
          <w:szCs w:val="56"/>
        </w:rPr>
      </w:pPr>
    </w:p>
    <w:p w14:paraId="1A1C3158" w14:textId="77777777" w:rsidR="00370C84" w:rsidRDefault="00370C84">
      <w:pPr>
        <w:pStyle w:val="Default"/>
        <w:jc w:val="center"/>
        <w:rPr>
          <w:sz w:val="56"/>
          <w:szCs w:val="56"/>
        </w:rPr>
      </w:pPr>
    </w:p>
    <w:p w14:paraId="469DC679" w14:textId="77777777" w:rsidR="00370C84" w:rsidRDefault="00370C84">
      <w:pPr>
        <w:pStyle w:val="Default"/>
        <w:jc w:val="center"/>
        <w:rPr>
          <w:sz w:val="56"/>
          <w:szCs w:val="56"/>
        </w:rPr>
      </w:pPr>
    </w:p>
    <w:p w14:paraId="2DD3F111" w14:textId="77777777" w:rsidR="00370C84" w:rsidRDefault="00370C84">
      <w:pPr>
        <w:pStyle w:val="Default"/>
        <w:jc w:val="center"/>
        <w:rPr>
          <w:sz w:val="56"/>
          <w:szCs w:val="56"/>
        </w:rPr>
      </w:pPr>
    </w:p>
    <w:p w14:paraId="36D3DC3D" w14:textId="77777777" w:rsidR="00370C84" w:rsidRDefault="00370C84">
      <w:pPr>
        <w:rPr>
          <w:sz w:val="56"/>
          <w:szCs w:val="56"/>
        </w:rPr>
      </w:pPr>
    </w:p>
    <w:p w14:paraId="78B4D970" w14:textId="77777777" w:rsidR="00370C84" w:rsidRDefault="00703A91">
      <w:pPr>
        <w:pStyle w:val="Default"/>
        <w:spacing w:line="520" w:lineRule="exact"/>
        <w:jc w:val="center"/>
        <w:rPr>
          <w:sz w:val="56"/>
          <w:szCs w:val="56"/>
        </w:rPr>
      </w:pPr>
      <w:r>
        <w:rPr>
          <w:rFonts w:hint="eastAsia"/>
          <w:sz w:val="56"/>
          <w:szCs w:val="56"/>
        </w:rPr>
        <w:t>目录</w:t>
      </w:r>
    </w:p>
    <w:p w14:paraId="4D069041" w14:textId="77777777" w:rsidR="00370C84" w:rsidRDefault="00703A91">
      <w:pPr>
        <w:pStyle w:val="Default"/>
        <w:spacing w:line="520" w:lineRule="exact"/>
        <w:outlineLvl w:val="0"/>
        <w:rPr>
          <w:rFonts w:ascii="仿宋_GB2312" w:hAnsi="仿宋_GB2312" w:cs="仿宋_GB2312"/>
          <w:b/>
          <w:sz w:val="28"/>
          <w:szCs w:val="28"/>
        </w:rPr>
      </w:pPr>
      <w:r>
        <w:rPr>
          <w:rFonts w:hint="eastAsia"/>
          <w:b/>
          <w:sz w:val="28"/>
          <w:szCs w:val="28"/>
        </w:rPr>
        <w:t>第一部分XX单位概况</w:t>
      </w:r>
    </w:p>
    <w:p w14:paraId="0FD8DD1E"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14:paraId="0DA770AA"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14:paraId="6B99D60A" w14:textId="77777777" w:rsidR="00370C84" w:rsidRDefault="00703A91">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14:paraId="07B524E3"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14:paraId="4B54D7A1"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14:paraId="10E11A0D"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14:paraId="26B1210B"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14:paraId="744D5EF0"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14:paraId="57400304"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14:paraId="4DC08499"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14:paraId="6DABBABF"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14:paraId="70281111" w14:textId="77777777" w:rsidR="00370C84" w:rsidRDefault="00703A91">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14:paraId="4C23B7BB" w14:textId="77777777" w:rsidR="00370C84" w:rsidRDefault="00703A9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14:paraId="114C52D5" w14:textId="77777777" w:rsidR="00370C84" w:rsidRDefault="00703A91">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38127D50"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385E27ED"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0F2E7BFA"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0556E73D"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71F1B239"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14:paraId="604F3535"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14:paraId="59B91FDF"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14:paraId="2E08A440" w14:textId="77777777" w:rsidR="00370C84" w:rsidRDefault="00703A9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14:paraId="1C91F6DB" w14:textId="77777777" w:rsidR="00370C84" w:rsidRDefault="00703A91">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14:paraId="26B7ED9A" w14:textId="77777777" w:rsidR="00370C84" w:rsidRDefault="00703A91">
      <w:pPr>
        <w:spacing w:line="520" w:lineRule="exact"/>
        <w:jc w:val="left"/>
        <w:outlineLvl w:val="0"/>
        <w:rPr>
          <w:sz w:val="72"/>
          <w:szCs w:val="72"/>
        </w:rPr>
      </w:pPr>
      <w:r>
        <w:rPr>
          <w:rFonts w:ascii="黑体" w:eastAsia="黑体" w:hAnsi="黑体" w:cs="黑体"/>
          <w:b/>
          <w:color w:val="000000"/>
          <w:kern w:val="0"/>
          <w:sz w:val="28"/>
          <w:szCs w:val="28"/>
        </w:rPr>
        <w:t>第五部分附件</w:t>
      </w:r>
    </w:p>
    <w:p w14:paraId="7922EFB4" w14:textId="77777777" w:rsidR="00370C84" w:rsidRDefault="00703A91">
      <w:pPr>
        <w:pStyle w:val="Default"/>
        <w:ind w:left="440" w:hangingChars="100" w:hanging="440"/>
        <w:outlineLvl w:val="0"/>
        <w:rPr>
          <w:sz w:val="44"/>
          <w:szCs w:val="44"/>
        </w:rPr>
      </w:pPr>
      <w:r>
        <w:rPr>
          <w:rFonts w:hint="eastAsia"/>
          <w:sz w:val="44"/>
          <w:szCs w:val="44"/>
        </w:rPr>
        <w:t xml:space="preserve">第一部分                            </w:t>
      </w:r>
      <w:r>
        <w:rPr>
          <w:rFonts w:ascii="方正小标宋简体" w:hAnsi="方正小标宋简体" w:cs="方正小标宋简体" w:hint="eastAsia"/>
          <w:sz w:val="44"/>
          <w:szCs w:val="44"/>
        </w:rPr>
        <w:t>资阳区财政干部教育中心</w:t>
      </w:r>
      <w:r>
        <w:rPr>
          <w:rFonts w:hint="eastAsia"/>
          <w:sz w:val="44"/>
          <w:szCs w:val="44"/>
        </w:rPr>
        <w:t>单位概况</w:t>
      </w:r>
    </w:p>
    <w:p w14:paraId="4C52C686" w14:textId="77777777" w:rsidR="00370C84" w:rsidRDefault="00703A91">
      <w:pPr>
        <w:pStyle w:val="a5"/>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14:paraId="1E96DF85"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工作职责</w:t>
      </w:r>
    </w:p>
    <w:p w14:paraId="1D09A6D1"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1</w:t>
      </w:r>
      <w:r>
        <w:rPr>
          <w:rFonts w:ascii="仿宋_GB2312" w:hAnsi="仿宋_GB2312" w:cs="仿宋_GB2312" w:hint="eastAsia"/>
          <w:bCs/>
          <w:kern w:val="0"/>
          <w:sz w:val="28"/>
          <w:szCs w:val="32"/>
        </w:rPr>
        <w:t>、配合会计管理股管理全区会计工作，负责《会计法》的执法检查工作；</w:t>
      </w:r>
    </w:p>
    <w:p w14:paraId="16516DEE"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2</w:t>
      </w:r>
      <w:r>
        <w:rPr>
          <w:rFonts w:ascii="仿宋_GB2312" w:hAnsi="仿宋_GB2312" w:cs="仿宋_GB2312" w:hint="eastAsia"/>
          <w:bCs/>
          <w:kern w:val="0"/>
          <w:sz w:val="28"/>
          <w:szCs w:val="32"/>
        </w:rPr>
        <w:t>、全区会计人员的继续教育培训工作；</w:t>
      </w:r>
    </w:p>
    <w:p w14:paraId="4CF2FA4F"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3</w:t>
      </w:r>
      <w:r>
        <w:rPr>
          <w:rFonts w:ascii="仿宋_GB2312" w:hAnsi="仿宋_GB2312" w:cs="仿宋_GB2312" w:hint="eastAsia"/>
          <w:bCs/>
          <w:kern w:val="0"/>
          <w:sz w:val="28"/>
          <w:szCs w:val="32"/>
        </w:rPr>
        <w:t>、全区农村会计人员的村会计培训工作；</w:t>
      </w:r>
    </w:p>
    <w:p w14:paraId="2079810B"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4</w:t>
      </w:r>
      <w:r>
        <w:rPr>
          <w:rFonts w:ascii="仿宋_GB2312" w:hAnsi="仿宋_GB2312" w:cs="仿宋_GB2312" w:hint="eastAsia"/>
          <w:bCs/>
          <w:kern w:val="0"/>
          <w:sz w:val="28"/>
          <w:szCs w:val="32"/>
        </w:rPr>
        <w:t>、其他会计业务培训工作；</w:t>
      </w:r>
    </w:p>
    <w:p w14:paraId="70583C63" w14:textId="77777777" w:rsidR="00370C84" w:rsidRDefault="00703A91">
      <w:pPr>
        <w:widowControl/>
        <w:spacing w:beforeLines="50" w:before="156" w:afterLines="50" w:after="156" w:line="360" w:lineRule="auto"/>
        <w:ind w:firstLineChars="200" w:firstLine="560"/>
        <w:rPr>
          <w:rFonts w:ascii="仿宋_GB2312" w:hAnsi="仿宋_GB2312" w:cs="仿宋_GB2312"/>
          <w:bCs/>
          <w:kern w:val="0"/>
          <w:sz w:val="28"/>
          <w:szCs w:val="32"/>
        </w:rPr>
      </w:pPr>
      <w:r>
        <w:rPr>
          <w:rFonts w:ascii="仿宋_GB2312" w:hAnsi="仿宋_GB2312" w:cs="仿宋_GB2312" w:hint="eastAsia"/>
          <w:bCs/>
          <w:kern w:val="0"/>
          <w:sz w:val="28"/>
          <w:szCs w:val="32"/>
        </w:rPr>
        <w:t>5</w:t>
      </w:r>
      <w:r>
        <w:rPr>
          <w:rFonts w:ascii="仿宋_GB2312" w:hAnsi="仿宋_GB2312" w:cs="仿宋_GB2312" w:hint="eastAsia"/>
          <w:bCs/>
          <w:kern w:val="0"/>
          <w:sz w:val="28"/>
          <w:szCs w:val="32"/>
        </w:rPr>
        <w:t>、领导临时交办的其他工作。</w:t>
      </w:r>
    </w:p>
    <w:p w14:paraId="0411A76B" w14:textId="77777777" w:rsidR="00370C84" w:rsidRDefault="00703A91">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34505451" w14:textId="77777777" w:rsidR="00370C84" w:rsidRDefault="00703A9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r>
        <w:rPr>
          <w:rFonts w:ascii="方正小标宋简体" w:hAnsi="方正小标宋简体" w:cs="方正小标宋简体" w:hint="eastAsia"/>
          <w:kern w:val="0"/>
          <w:sz w:val="32"/>
          <w:szCs w:val="32"/>
        </w:rPr>
        <w:t>资阳区财政干部教育中心</w:t>
      </w:r>
      <w:r>
        <w:rPr>
          <w:rFonts w:asciiTheme="minorEastAsia" w:hAnsiTheme="minorEastAsia" w:hint="eastAsia"/>
          <w:bCs/>
          <w:kern w:val="0"/>
          <w:sz w:val="32"/>
          <w:szCs w:val="32"/>
        </w:rPr>
        <w:t>单位内设机构包括：无</w:t>
      </w:r>
    </w:p>
    <w:p w14:paraId="08BF73DB" w14:textId="77777777" w:rsidR="00370C84" w:rsidRDefault="00703A91">
      <w:pPr>
        <w:widowControl/>
        <w:spacing w:beforeLines="50" w:before="156" w:afterLines="50" w:after="156" w:line="360" w:lineRule="auto"/>
        <w:ind w:firstLineChars="200" w:firstLine="640"/>
        <w:rPr>
          <w:rFonts w:ascii="仿宋_GB2312" w:hAnsi="仿宋_GB2312" w:cs="仿宋_GB2312"/>
          <w:bCs/>
          <w:kern w:val="0"/>
          <w:sz w:val="28"/>
          <w:szCs w:val="32"/>
        </w:rPr>
      </w:pPr>
      <w:r>
        <w:rPr>
          <w:rFonts w:asciiTheme="minorEastAsia" w:hAnsiTheme="minorEastAsia" w:hint="eastAsia"/>
          <w:bCs/>
          <w:kern w:val="0"/>
          <w:sz w:val="32"/>
          <w:szCs w:val="32"/>
        </w:rPr>
        <w:t>（二）决算单位构成。</w:t>
      </w:r>
      <w:r>
        <w:rPr>
          <w:rFonts w:ascii="仿宋_GB2312" w:hAnsi="仿宋_GB2312" w:cs="仿宋_GB2312" w:hint="eastAsia"/>
          <w:bCs/>
          <w:kern w:val="0"/>
          <w:sz w:val="28"/>
          <w:szCs w:val="32"/>
        </w:rPr>
        <w:t>益阳市资阳区财政干部教育中心单位部门决算仅包括资阳区财政干部教育中心本级部门决算。</w:t>
      </w:r>
    </w:p>
    <w:p w14:paraId="33CC5686" w14:textId="77777777" w:rsidR="00370C84" w:rsidRDefault="00370C84">
      <w:pPr>
        <w:widowControl/>
        <w:spacing w:line="600" w:lineRule="exact"/>
        <w:rPr>
          <w:rFonts w:asciiTheme="minorEastAsia" w:hAnsiTheme="minorEastAsia"/>
          <w:bCs/>
          <w:kern w:val="0"/>
          <w:sz w:val="32"/>
          <w:szCs w:val="32"/>
        </w:rPr>
      </w:pPr>
    </w:p>
    <w:p w14:paraId="412034D6" w14:textId="77777777" w:rsidR="00370C84" w:rsidRDefault="00703A91">
      <w:pPr>
        <w:widowControl/>
        <w:spacing w:line="600" w:lineRule="exact"/>
        <w:rPr>
          <w:sz w:val="44"/>
          <w:szCs w:val="44"/>
        </w:rPr>
      </w:pPr>
      <w:r>
        <w:rPr>
          <w:rFonts w:hint="eastAsia"/>
          <w:sz w:val="44"/>
          <w:szCs w:val="44"/>
        </w:rPr>
        <w:t>部门决算表（见附表）</w:t>
      </w:r>
    </w:p>
    <w:p w14:paraId="0B97CDA3" w14:textId="77777777" w:rsidR="00370C84" w:rsidRDefault="00370C84">
      <w:pPr>
        <w:pStyle w:val="Default"/>
        <w:rPr>
          <w:sz w:val="44"/>
          <w:szCs w:val="44"/>
        </w:rPr>
      </w:pPr>
    </w:p>
    <w:p w14:paraId="59B89C29" w14:textId="77777777" w:rsidR="00370C84" w:rsidRDefault="00703A91">
      <w:pPr>
        <w:pStyle w:val="Default"/>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14:paraId="1A4BC8B5" w14:textId="77777777" w:rsidR="00370C84" w:rsidRDefault="00703A91">
      <w:pPr>
        <w:pStyle w:val="Default"/>
        <w:outlineLvl w:val="1"/>
        <w:rPr>
          <w:rFonts w:hAnsi="黑体"/>
          <w:b/>
          <w:sz w:val="32"/>
          <w:szCs w:val="32"/>
        </w:rPr>
      </w:pPr>
      <w:r>
        <w:rPr>
          <w:rFonts w:hAnsi="黑体" w:hint="eastAsia"/>
          <w:b/>
          <w:sz w:val="32"/>
          <w:szCs w:val="32"/>
        </w:rPr>
        <w:t>一、收入支出决算总体情况说明</w:t>
      </w:r>
    </w:p>
    <w:p w14:paraId="685F8C3C" w14:textId="77777777" w:rsidR="00370C84" w:rsidRDefault="00703A91">
      <w:pPr>
        <w:widowControl/>
        <w:spacing w:beforeLines="50" w:before="156" w:afterLines="50" w:after="156" w:line="360" w:lineRule="auto"/>
        <w:ind w:firstLineChars="200" w:firstLine="640"/>
        <w:rPr>
          <w:rFonts w:ascii="仿宋_GB2312" w:hAnsi="仿宋_GB2312" w:cs="仿宋_GB2312"/>
          <w:bCs/>
          <w:kern w:val="0"/>
          <w:sz w:val="28"/>
          <w:szCs w:val="32"/>
        </w:rPr>
      </w:pPr>
      <w:r>
        <w:rPr>
          <w:rFonts w:asciiTheme="minorEastAsia" w:hAnsiTheme="minorEastAsia" w:hint="eastAsia"/>
          <w:sz w:val="32"/>
          <w:szCs w:val="32"/>
        </w:rPr>
        <w:t>2019 年度收、支总计332.12万元。与2018年相比，减少48.63万元，减少12.77%，主要是因为</w:t>
      </w:r>
      <w:r>
        <w:rPr>
          <w:rFonts w:ascii="仿宋_GB2312" w:hAnsi="仿宋_GB2312" w:cs="仿宋_GB2312" w:hint="eastAsia"/>
          <w:bCs/>
          <w:kern w:val="0"/>
          <w:sz w:val="28"/>
          <w:szCs w:val="32"/>
        </w:rPr>
        <w:t>年中调资等。</w:t>
      </w:r>
    </w:p>
    <w:p w14:paraId="3493DAC0" w14:textId="77777777" w:rsidR="00370C84" w:rsidRDefault="00703A91">
      <w:pPr>
        <w:pStyle w:val="Default"/>
        <w:ind w:firstLineChars="200" w:firstLine="643"/>
        <w:rPr>
          <w:rFonts w:hAnsi="黑体"/>
          <w:b/>
          <w:sz w:val="32"/>
          <w:szCs w:val="32"/>
        </w:rPr>
      </w:pPr>
      <w:r>
        <w:rPr>
          <w:rFonts w:hAnsi="黑体" w:hint="eastAsia"/>
          <w:b/>
          <w:sz w:val="32"/>
          <w:szCs w:val="32"/>
        </w:rPr>
        <w:t>二、收入决算情况说明</w:t>
      </w:r>
    </w:p>
    <w:p w14:paraId="273BC261" w14:textId="77777777"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本年收入合计167.17万元，其中：财政拨款收入166.91万元，占99.8%；上级补助收入0万元；事业收入0万元；经营收入0万元；附属单位上缴收入0万元；其他收入0.26万元，占0.02%。</w:t>
      </w:r>
    </w:p>
    <w:p w14:paraId="3A9CD9C8" w14:textId="77777777" w:rsidR="00370C84" w:rsidRDefault="00703A91">
      <w:pPr>
        <w:pStyle w:val="Default"/>
        <w:outlineLvl w:val="1"/>
        <w:rPr>
          <w:rFonts w:hAnsi="黑体"/>
          <w:b/>
          <w:sz w:val="32"/>
          <w:szCs w:val="32"/>
        </w:rPr>
      </w:pPr>
      <w:r>
        <w:rPr>
          <w:rFonts w:hAnsi="黑体" w:hint="eastAsia"/>
          <w:b/>
          <w:sz w:val="32"/>
          <w:szCs w:val="32"/>
        </w:rPr>
        <w:t>三、支出决算情况说明</w:t>
      </w:r>
    </w:p>
    <w:p w14:paraId="2E5B9FA1" w14:textId="77777777"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本年支出合计212.93万元，其中：基本支出212.93万元，占100%；项目支出0万元；上缴上级支出0万元；经营支出0万元；对附属单位补助支出0万元。</w:t>
      </w:r>
    </w:p>
    <w:p w14:paraId="0C07B264" w14:textId="77777777" w:rsidR="00370C84" w:rsidRDefault="00703A91">
      <w:pPr>
        <w:pStyle w:val="Default"/>
        <w:outlineLvl w:val="1"/>
        <w:rPr>
          <w:rFonts w:hAnsi="黑体"/>
          <w:b/>
          <w:sz w:val="32"/>
          <w:szCs w:val="32"/>
        </w:rPr>
      </w:pPr>
      <w:r>
        <w:rPr>
          <w:rFonts w:hAnsi="黑体" w:hint="eastAsia"/>
          <w:b/>
          <w:sz w:val="32"/>
          <w:szCs w:val="32"/>
        </w:rPr>
        <w:t>四、财政拨款收入支出决算总体情况说明</w:t>
      </w:r>
    </w:p>
    <w:p w14:paraId="1E536412" w14:textId="77777777" w:rsidR="00370C84" w:rsidRDefault="00703A91">
      <w:pPr>
        <w:pStyle w:val="Default"/>
        <w:rPr>
          <w:rFonts w:asciiTheme="majorEastAsia" w:eastAsiaTheme="majorEastAsia" w:hAnsiTheme="majorEastAsia"/>
          <w:sz w:val="32"/>
          <w:szCs w:val="32"/>
        </w:rPr>
      </w:pPr>
      <w:r>
        <w:rPr>
          <w:rFonts w:asciiTheme="minorEastAsia" w:eastAsiaTheme="minorEastAsia" w:hAnsiTheme="minorEastAsia" w:hint="eastAsia"/>
          <w:sz w:val="32"/>
          <w:szCs w:val="32"/>
        </w:rPr>
        <w:t xml:space="preserve">    2019年度财政拨款收、支总计331.87万元，与2018年相比，减少48.88万元,减少12.84%，主要是因为</w:t>
      </w:r>
      <w:r>
        <w:rPr>
          <w:rFonts w:asciiTheme="majorEastAsia" w:eastAsiaTheme="majorEastAsia" w:hAnsiTheme="majorEastAsia" w:cs="仿宋_GB2312" w:hint="eastAsia"/>
          <w:bCs/>
          <w:sz w:val="32"/>
          <w:szCs w:val="32"/>
        </w:rPr>
        <w:t>年中调资等</w:t>
      </w:r>
    </w:p>
    <w:p w14:paraId="0032D3CB" w14:textId="77777777" w:rsidR="00370C84" w:rsidRDefault="00703A91">
      <w:pPr>
        <w:pStyle w:val="Default"/>
        <w:numPr>
          <w:ilvl w:val="0"/>
          <w:numId w:val="2"/>
        </w:numPr>
        <w:outlineLvl w:val="1"/>
        <w:rPr>
          <w:rFonts w:hAnsi="黑体"/>
          <w:b/>
          <w:sz w:val="32"/>
          <w:szCs w:val="32"/>
        </w:rPr>
      </w:pPr>
      <w:r>
        <w:rPr>
          <w:rFonts w:hAnsi="黑体" w:hint="eastAsia"/>
          <w:b/>
          <w:sz w:val="32"/>
          <w:szCs w:val="32"/>
        </w:rPr>
        <w:t>一般公共预算财政拨款支出决算情况说明</w:t>
      </w:r>
    </w:p>
    <w:p w14:paraId="38F3D0A3" w14:textId="77777777" w:rsidR="00370C84" w:rsidRDefault="00703A91">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14:paraId="7C97D867"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2019年度财政拨款支出212.93万元，占本年支出合计的100%，与2018年相比，财政拨款支出增加22.62万元，增长11.88%，主要是因为</w:t>
      </w:r>
      <w:r>
        <w:rPr>
          <w:rFonts w:asciiTheme="minorEastAsia" w:eastAsiaTheme="minorEastAsia" w:hAnsiTheme="minorEastAsia" w:cs="仿宋_GB2312" w:hint="eastAsia"/>
          <w:bCs/>
          <w:sz w:val="32"/>
          <w:szCs w:val="32"/>
        </w:rPr>
        <w:t>年中调资等</w:t>
      </w:r>
    </w:p>
    <w:p w14:paraId="6855D1D0" w14:textId="77777777" w:rsidR="00370C84" w:rsidRDefault="00703A91">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14:paraId="3F5F1611" w14:textId="09460F14"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2019年度财政拨款支出212.93万元，主要用于以下方面：一般公共服务（类）支出29.8万元，占14%；教育（类）支出169.35万元，占79.53%;社会保障和就业支出13.78，占6.47%</w:t>
      </w:r>
      <w:r w:rsidR="0091194F">
        <w:rPr>
          <w:rFonts w:asciiTheme="minorEastAsia" w:eastAsiaTheme="minorEastAsia" w:hAnsiTheme="minorEastAsia" w:hint="eastAsia"/>
          <w:sz w:val="32"/>
          <w:szCs w:val="32"/>
        </w:rPr>
        <w:t>。</w:t>
      </w:r>
    </w:p>
    <w:p w14:paraId="3DDE6D88" w14:textId="77777777" w:rsidR="00370C84" w:rsidRDefault="00703A91">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14:paraId="191CCEB4"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2019年度财政拨款支出年初预算数为212.93万元，支出决算数为212.93万元，完成年初预算的100%，其中：</w:t>
      </w:r>
    </w:p>
    <w:p w14:paraId="01329022"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2010601 行政运行年初预算29.80，支出决算为29.80万元，决算数与年初预算数持平。</w:t>
      </w:r>
    </w:p>
    <w:p w14:paraId="0BD0196F"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2050802 干部教育年初预算169.35，支出决算为169.35万元，决算数与年初预算数持平。</w:t>
      </w:r>
    </w:p>
    <w:p w14:paraId="496C69D4"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2080801 死亡抚恤年初预算13.78，支出决算为13.78万元，决算数与年初预算数持平。</w:t>
      </w:r>
    </w:p>
    <w:p w14:paraId="5F24B953" w14:textId="77777777" w:rsidR="00370C84" w:rsidRDefault="00370C84">
      <w:pPr>
        <w:pStyle w:val="Default"/>
        <w:rPr>
          <w:rFonts w:asciiTheme="minorEastAsia" w:eastAsiaTheme="minorEastAsia" w:hAnsiTheme="minorEastAsia"/>
          <w:sz w:val="32"/>
          <w:szCs w:val="32"/>
          <w:highlight w:val="yellow"/>
        </w:rPr>
      </w:pPr>
    </w:p>
    <w:p w14:paraId="1EE69C71" w14:textId="77777777" w:rsidR="00370C84" w:rsidRDefault="00703A91">
      <w:pPr>
        <w:pStyle w:val="Default"/>
        <w:outlineLvl w:val="1"/>
        <w:rPr>
          <w:rFonts w:hAnsi="黑体"/>
          <w:b/>
          <w:sz w:val="32"/>
          <w:szCs w:val="32"/>
        </w:rPr>
      </w:pPr>
      <w:r>
        <w:rPr>
          <w:rFonts w:hAnsi="黑体" w:hint="eastAsia"/>
          <w:b/>
          <w:sz w:val="32"/>
          <w:szCs w:val="32"/>
        </w:rPr>
        <w:t>六、一般公共预算财政拨款基本支出决算情况说明</w:t>
      </w:r>
    </w:p>
    <w:p w14:paraId="100C5520" w14:textId="77777777"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212.93万元，其中：人员经费191.37万元，占基本支出的89.87%,主要包括基本工资、津贴补贴、奖金、伙食补助费；公用经费21.56万元，占基本支出的10.13%，主要包括办公费、印刷费、咨询费、手续费。</w:t>
      </w:r>
    </w:p>
    <w:p w14:paraId="442A5756" w14:textId="77777777" w:rsidR="00370C84" w:rsidRDefault="00703A91">
      <w:pPr>
        <w:pStyle w:val="Default"/>
        <w:outlineLvl w:val="1"/>
        <w:rPr>
          <w:rFonts w:hAnsi="黑体"/>
          <w:b/>
          <w:sz w:val="32"/>
          <w:szCs w:val="32"/>
        </w:rPr>
      </w:pPr>
      <w:r>
        <w:rPr>
          <w:rFonts w:hAnsi="黑体" w:hint="eastAsia"/>
          <w:b/>
          <w:sz w:val="32"/>
          <w:szCs w:val="32"/>
        </w:rPr>
        <w:t>七、一般公共预算财政拨款三公经费支出决算情况说明</w:t>
      </w:r>
    </w:p>
    <w:p w14:paraId="27654640" w14:textId="77777777" w:rsidR="00370C84" w:rsidRDefault="00703A91">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14:paraId="7344CE14" w14:textId="7777777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“三公”经费财政拨款支出预算为0万元，支出决算为0万元，完成预算的0%，其中：</w:t>
      </w:r>
    </w:p>
    <w:p w14:paraId="31A2C463" w14:textId="2C898FE7"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因公出国（境）费支出预算为0万元，支出决算为0万元，完成预算的0%，与上年相比减少（增加）0万元，减少（增长</w:t>
      </w:r>
      <w:r>
        <w:rPr>
          <w:rFonts w:asciiTheme="minorEastAsia" w:eastAsiaTheme="minorEastAsia" w:hAnsiTheme="minorEastAsia"/>
          <w:sz w:val="32"/>
          <w:szCs w:val="32"/>
        </w:rPr>
        <w:t>）0</w:t>
      </w:r>
      <w:r>
        <w:rPr>
          <w:rFonts w:asciiTheme="minorEastAsia" w:eastAsiaTheme="minorEastAsia" w:hAnsiTheme="minorEastAsia" w:hint="eastAsia"/>
          <w:sz w:val="32"/>
          <w:szCs w:val="32"/>
        </w:rPr>
        <w:t>%。</w:t>
      </w:r>
    </w:p>
    <w:p w14:paraId="4C54CBD4" w14:textId="2802BD78"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公务接待费支出预算为0万元，支出决算为0万元，完成预算的0%，与上年相比减少（增加）0万元，减少（增长）0</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p>
    <w:p w14:paraId="6C1C50E4" w14:textId="6ADA4788"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公务用车购置费及运行维护费支出预算为0万元，支出决算为0万元，完成预算的0%，与上年相比减少（增加）0万元。</w:t>
      </w:r>
    </w:p>
    <w:p w14:paraId="1558229B" w14:textId="77777777" w:rsidR="00370C84" w:rsidRDefault="00703A91">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14:paraId="71345DD0" w14:textId="77777777" w:rsidR="00370C84" w:rsidRDefault="00703A9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2019年度“三公”经费财政拨款支出决算中，公务接待费支出决算0万元，占0%,因公出国（境）费支出决算0万元，占0%,公务用车购置费及运行维护费支出决算0万元，占0%。其中：</w:t>
      </w:r>
    </w:p>
    <w:p w14:paraId="00FFD5AC" w14:textId="104480DA" w:rsidR="00370C84" w:rsidRDefault="00703A91">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1、因公出国（境）费支出决算为0万元，全年安排因公出国（境）团组0个，累计0人次。</w:t>
      </w:r>
    </w:p>
    <w:p w14:paraId="71B4EA8B" w14:textId="42BCC1DB" w:rsidR="00370C84" w:rsidRDefault="00703A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2、公务接待费支出决算为0万元，全年共接待来访团组0个、来宾0人次。</w:t>
      </w:r>
    </w:p>
    <w:p w14:paraId="4496C624" w14:textId="20D2C287" w:rsidR="00370C84" w:rsidRDefault="00703A91">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3、公务用车购置费及运行维护费支出决算为0万元，其中：公务用车购置费0万元，（单位本级或某二级机构）更新公务用车0辆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公务用车运行维护费0万元，截止2019年12月31日，我单位开支财政拨款的公务用车保有量为0辆。</w:t>
      </w:r>
    </w:p>
    <w:p w14:paraId="673C2AD1" w14:textId="77777777" w:rsidR="00370C84" w:rsidRDefault="00703A91">
      <w:pPr>
        <w:pStyle w:val="Default"/>
        <w:outlineLvl w:val="1"/>
        <w:rPr>
          <w:rFonts w:hAnsi="黑体"/>
          <w:b/>
          <w:sz w:val="32"/>
          <w:szCs w:val="32"/>
        </w:rPr>
      </w:pPr>
      <w:r>
        <w:rPr>
          <w:rFonts w:hAnsi="黑体" w:hint="eastAsia"/>
          <w:b/>
          <w:sz w:val="32"/>
          <w:szCs w:val="32"/>
        </w:rPr>
        <w:t>八、政府性基金预算收入支出决算情况</w:t>
      </w:r>
    </w:p>
    <w:p w14:paraId="0A4388AB" w14:textId="77777777" w:rsidR="00370C84" w:rsidRDefault="00703A91">
      <w:pPr>
        <w:pStyle w:val="Default"/>
        <w:rPr>
          <w:rFonts w:asciiTheme="minorEastAsia" w:eastAsiaTheme="minorEastAsia" w:hAnsiTheme="minorEastAsia"/>
          <w:iCs/>
          <w:color w:val="000000" w:themeColor="text1"/>
          <w:sz w:val="32"/>
          <w:szCs w:val="32"/>
        </w:rPr>
      </w:pPr>
      <w:r>
        <w:rPr>
          <w:rFonts w:asciiTheme="minorEastAsia" w:eastAsiaTheme="minorEastAsia" w:hAnsiTheme="minorEastAsia" w:hint="eastAsia"/>
          <w:sz w:val="32"/>
          <w:szCs w:val="32"/>
        </w:rPr>
        <w:t xml:space="preserve">     2019年度政府性基金预算财政拨款收入0万元；年初结转和结余0万元；支出0万元，其中基本支出0万元，项目支出0万元；年末结转和结余0万元。</w:t>
      </w:r>
      <w:r>
        <w:rPr>
          <w:rFonts w:asciiTheme="minorEastAsia" w:eastAsiaTheme="minorEastAsia" w:hAnsiTheme="minorEastAsia" w:hint="eastAsia"/>
          <w:iCs/>
          <w:color w:val="000000" w:themeColor="text1"/>
          <w:sz w:val="32"/>
          <w:szCs w:val="32"/>
        </w:rPr>
        <w:t>本单位无政府性基金收支</w:t>
      </w:r>
    </w:p>
    <w:p w14:paraId="5BDEBB72" w14:textId="77777777" w:rsidR="00370C84" w:rsidRDefault="00703A91">
      <w:pPr>
        <w:pStyle w:val="Default"/>
        <w:outlineLvl w:val="1"/>
        <w:rPr>
          <w:rFonts w:hAnsi="黑体"/>
          <w:b/>
          <w:sz w:val="32"/>
          <w:szCs w:val="32"/>
        </w:rPr>
      </w:pPr>
      <w:r>
        <w:rPr>
          <w:rFonts w:hAnsi="黑体" w:hint="eastAsia"/>
          <w:b/>
          <w:sz w:val="32"/>
          <w:szCs w:val="32"/>
        </w:rPr>
        <w:t>九、关于2019年度预算绩效情况说明</w:t>
      </w:r>
    </w:p>
    <w:p w14:paraId="0AC9EE84" w14:textId="77777777" w:rsidR="00370C84" w:rsidRDefault="00703A9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2019年本单位没有独立进行预算绩效考核。</w:t>
      </w:r>
    </w:p>
    <w:p w14:paraId="7FCFF938" w14:textId="77777777" w:rsidR="00370C84" w:rsidRDefault="00703A91">
      <w:pPr>
        <w:pStyle w:val="Default"/>
        <w:outlineLvl w:val="1"/>
        <w:rPr>
          <w:rFonts w:hAnsi="黑体"/>
          <w:b/>
          <w:sz w:val="32"/>
          <w:szCs w:val="32"/>
        </w:rPr>
      </w:pPr>
      <w:r>
        <w:rPr>
          <w:rFonts w:hAnsi="黑体" w:hint="eastAsia"/>
          <w:b/>
          <w:sz w:val="32"/>
          <w:szCs w:val="32"/>
        </w:rPr>
        <w:t>十、其他重要事项情况说明</w:t>
      </w:r>
    </w:p>
    <w:p w14:paraId="6898CD2E" w14:textId="77777777" w:rsidR="00370C84" w:rsidRDefault="00703A91">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14:paraId="49045705" w14:textId="45D0B0EA" w:rsidR="00370C84" w:rsidRDefault="00703A9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年度机关运行经费支出0万元，比年初预算数增加（减少）0万元，增长（降低）0%。</w:t>
      </w:r>
    </w:p>
    <w:p w14:paraId="468B3794" w14:textId="77777777" w:rsidR="00370C84" w:rsidRDefault="00703A91">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14:paraId="65DFFDA8" w14:textId="1AAA0B19" w:rsidR="00370C84" w:rsidRDefault="00703A9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2019年本部门开支会议费0万元，用于召开无会议，人数0人；开支培训费0万元，人数0人；举办无等节庆、晚会、论坛、赛事活动，开支0万元。</w:t>
      </w:r>
    </w:p>
    <w:p w14:paraId="5D130E84" w14:textId="77777777" w:rsidR="00370C84" w:rsidRDefault="00703A91">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14:paraId="3F20BACA" w14:textId="77777777" w:rsidR="00370C84" w:rsidRDefault="00703A91">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65AAB33E" w14:textId="77777777" w:rsidR="00370C84" w:rsidRDefault="00703A91">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14:paraId="60AB45E3" w14:textId="77777777" w:rsidR="00370C84" w:rsidRDefault="00703A9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0辆，其中，领导干部用车0辆、机要通信用车0辆、应急保障用车0辆、执法执勤用车0辆、特种专业技术用车0辆、其他用车0辆，其他用车主要是无；单位价值50万元以上通用设备0台（套）；单位价值100万元以上专用设备0台（套）。</w:t>
      </w:r>
    </w:p>
    <w:p w14:paraId="25A4F2AD" w14:textId="77777777" w:rsidR="00370C84" w:rsidRDefault="00370C84">
      <w:pPr>
        <w:ind w:firstLineChars="200" w:firstLine="640"/>
        <w:rPr>
          <w:rFonts w:asciiTheme="minorEastAsia" w:hAnsiTheme="minorEastAsia" w:cs="黑体"/>
          <w:color w:val="000000"/>
          <w:kern w:val="0"/>
          <w:sz w:val="32"/>
          <w:szCs w:val="32"/>
        </w:rPr>
      </w:pPr>
    </w:p>
    <w:p w14:paraId="43FEAF30" w14:textId="77777777" w:rsidR="00370C84" w:rsidRDefault="00703A91">
      <w:pPr>
        <w:pStyle w:val="Default"/>
        <w:jc w:val="both"/>
        <w:outlineLvl w:val="0"/>
        <w:rPr>
          <w:sz w:val="44"/>
          <w:szCs w:val="44"/>
        </w:rPr>
      </w:pPr>
      <w:r>
        <w:rPr>
          <w:rFonts w:hint="eastAsia"/>
          <w:sz w:val="44"/>
          <w:szCs w:val="44"/>
        </w:rPr>
        <w:t>第四部分名词解释</w:t>
      </w:r>
    </w:p>
    <w:p w14:paraId="1C93A433" w14:textId="77777777" w:rsidR="00370C84" w:rsidRDefault="00703A91">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14:paraId="670EF13F" w14:textId="77777777" w:rsidR="00370C84" w:rsidRDefault="00703A91">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4349EAFC" w14:textId="77777777" w:rsidR="00370C84" w:rsidRDefault="00703A91">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14:paraId="05C88B02" w14:textId="77777777" w:rsidR="00370C84" w:rsidRDefault="00703A91">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14:paraId="79898DCF" w14:textId="77777777" w:rsidR="00370C84" w:rsidRDefault="00703A91">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D124658" w14:textId="77777777" w:rsidR="00370C84" w:rsidRDefault="00703A91">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14:paraId="31217975" w14:textId="77777777" w:rsidR="00370C84" w:rsidRDefault="00703A91">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14:paraId="6C3D4F06" w14:textId="77777777" w:rsidR="00370C84" w:rsidRDefault="00703A91">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14:paraId="070D8B00" w14:textId="77777777" w:rsidR="00370C84" w:rsidRDefault="00703A91">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14:paraId="2D9A2F2E" w14:textId="77777777" w:rsidR="00370C84" w:rsidRDefault="00703A91">
      <w:pPr>
        <w:jc w:val="left"/>
        <w:rPr>
          <w:rFonts w:ascii="仿宋" w:eastAsia="仿宋" w:hAnsi="仿宋" w:cs="仿宋"/>
          <w:sz w:val="32"/>
        </w:rPr>
      </w:pPr>
      <w:r>
        <w:rPr>
          <w:rFonts w:ascii="仿宋" w:eastAsia="仿宋" w:hAnsi="仿宋" w:cs="仿宋"/>
          <w:sz w:val="32"/>
        </w:rPr>
        <w:t xml:space="preserve">作任务而发生的人员支出和公用支出。 </w:t>
      </w:r>
    </w:p>
    <w:p w14:paraId="0F10C9B0" w14:textId="77777777" w:rsidR="00370C84" w:rsidRDefault="00703A91">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14:paraId="12160D7A" w14:textId="77777777" w:rsidR="00370C84" w:rsidRDefault="00703A91">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14:paraId="730FBF0F" w14:textId="77777777" w:rsidR="00370C84" w:rsidRDefault="00703A91">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E219610" w14:textId="77777777" w:rsidR="00370C84" w:rsidRDefault="00703A91">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86C825" w14:textId="77777777" w:rsidR="00370C84" w:rsidRDefault="00370C84">
      <w:pPr>
        <w:ind w:firstLine="643"/>
        <w:jc w:val="left"/>
        <w:rPr>
          <w:rFonts w:ascii="仿宋" w:eastAsia="仿宋" w:hAnsi="仿宋" w:cs="仿宋"/>
          <w:b/>
          <w:color w:val="FF0000"/>
          <w:sz w:val="32"/>
        </w:rPr>
      </w:pPr>
    </w:p>
    <w:p w14:paraId="32B8EF3C" w14:textId="77777777" w:rsidR="00370C84" w:rsidRDefault="00703A91">
      <w:pPr>
        <w:pStyle w:val="Default"/>
        <w:jc w:val="both"/>
        <w:outlineLvl w:val="0"/>
        <w:rPr>
          <w:sz w:val="44"/>
          <w:szCs w:val="44"/>
        </w:rPr>
      </w:pPr>
      <w:r>
        <w:rPr>
          <w:rFonts w:hint="eastAsia"/>
          <w:sz w:val="44"/>
          <w:szCs w:val="44"/>
        </w:rPr>
        <w:t>第五部分 附件</w:t>
      </w:r>
    </w:p>
    <w:p w14:paraId="7BBEA8AF" w14:textId="77777777" w:rsidR="00370C84" w:rsidRDefault="00703A91">
      <w:pPr>
        <w:keepNext/>
        <w:keepLines/>
        <w:ind w:firstLine="640"/>
        <w:rPr>
          <w:rFonts w:ascii="仿宋" w:eastAsia="仿宋" w:hAnsi="仿宋"/>
          <w:b/>
          <w:sz w:val="32"/>
          <w:highlight w:val="white"/>
        </w:rPr>
      </w:pPr>
      <w:r>
        <w:rPr>
          <w:rFonts w:ascii="仿宋" w:eastAsia="仿宋" w:hAnsi="仿宋" w:hint="eastAsia"/>
          <w:sz w:val="32"/>
          <w:highlight w:val="white"/>
        </w:rPr>
        <w:t>2019年度XX部门决算公开表格</w:t>
      </w:r>
    </w:p>
    <w:p w14:paraId="5C5A443F" w14:textId="77777777" w:rsidR="00370C84" w:rsidRDefault="00370C84">
      <w:pPr>
        <w:widowControl/>
        <w:jc w:val="left"/>
        <w:rPr>
          <w:rFonts w:ascii="黑体" w:eastAsia="黑体" w:cs="黑体"/>
          <w:color w:val="000000"/>
          <w:kern w:val="0"/>
          <w:sz w:val="70"/>
          <w:szCs w:val="70"/>
        </w:rPr>
      </w:pPr>
    </w:p>
    <w:p w14:paraId="0DF91CB3" w14:textId="77777777" w:rsidR="00370C84" w:rsidRDefault="00370C84">
      <w:pPr>
        <w:pStyle w:val="Default"/>
        <w:rPr>
          <w:sz w:val="44"/>
          <w:szCs w:val="44"/>
        </w:rPr>
      </w:pPr>
    </w:p>
    <w:p w14:paraId="28CEC383" w14:textId="77777777" w:rsidR="00370C84" w:rsidRDefault="00370C84"/>
    <w:sectPr w:rsidR="00370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EF3585"/>
    <w:multiLevelType w:val="singleLevel"/>
    <w:tmpl w:val="FDEF3585"/>
    <w:lvl w:ilvl="0">
      <w:start w:val="5"/>
      <w:numFmt w:val="chineseCounting"/>
      <w:suff w:val="nothing"/>
      <w:lvlText w:val="%1、"/>
      <w:lvlJc w:val="left"/>
      <w:rPr>
        <w:rFonts w:hint="eastAsia"/>
      </w:rPr>
    </w:lvl>
  </w:abstractNum>
  <w:abstractNum w:abstractNumId="1"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6E1C2B"/>
    <w:rsid w:val="00370C84"/>
    <w:rsid w:val="0040416D"/>
    <w:rsid w:val="00703A91"/>
    <w:rsid w:val="0091194F"/>
    <w:rsid w:val="00A70030"/>
    <w:rsid w:val="00AB2F9D"/>
    <w:rsid w:val="00B657C5"/>
    <w:rsid w:val="00B74BA6"/>
    <w:rsid w:val="00CD2C30"/>
    <w:rsid w:val="00D55C5B"/>
    <w:rsid w:val="00D70EE3"/>
    <w:rsid w:val="036E123C"/>
    <w:rsid w:val="04F233F6"/>
    <w:rsid w:val="08864F04"/>
    <w:rsid w:val="0D137CB2"/>
    <w:rsid w:val="0F6E1C2B"/>
    <w:rsid w:val="206D6EE3"/>
    <w:rsid w:val="22943505"/>
    <w:rsid w:val="27373FE5"/>
    <w:rsid w:val="2CE17EEE"/>
    <w:rsid w:val="36313B69"/>
    <w:rsid w:val="3A7A6C0B"/>
    <w:rsid w:val="3A804E10"/>
    <w:rsid w:val="3CF507C5"/>
    <w:rsid w:val="415356CE"/>
    <w:rsid w:val="45BD5D3A"/>
    <w:rsid w:val="47922311"/>
    <w:rsid w:val="49100321"/>
    <w:rsid w:val="4DEA50C7"/>
    <w:rsid w:val="4E646EC4"/>
    <w:rsid w:val="4F784BC7"/>
    <w:rsid w:val="51194F31"/>
    <w:rsid w:val="5AE11096"/>
    <w:rsid w:val="5F020277"/>
    <w:rsid w:val="749261B6"/>
    <w:rsid w:val="77931FE8"/>
    <w:rsid w:val="789178A9"/>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4E9DA"/>
  <w15:docId w15:val="{3B5765C5-60FF-47B0-86F4-BF959D4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outlineLvl w:val="0"/>
    </w:pPr>
    <w:rPr>
      <w:rFonts w:eastAsia="黑体"/>
      <w:b/>
      <w:kern w:val="44"/>
      <w:sz w:val="32"/>
    </w:rPr>
  </w:style>
  <w:style w:type="paragraph" w:styleId="2">
    <w:name w:val="heading 2"/>
    <w:basedOn w:val="a"/>
    <w:next w:val="a"/>
    <w:semiHidden/>
    <w:unhideWhenUsed/>
    <w:qFormat/>
    <w:pPr>
      <w:keepNext/>
      <w:keepLines/>
      <w:ind w:firstLineChars="200" w:firstLine="880"/>
      <w:outlineLvl w:val="1"/>
    </w:pPr>
    <w:rPr>
      <w:rFonts w:ascii="Arial" w:eastAsia="黑体" w:hAnsi="Arial"/>
    </w:rPr>
  </w:style>
  <w:style w:type="paragraph" w:styleId="3">
    <w:name w:val="heading 3"/>
    <w:basedOn w:val="a"/>
    <w:next w:val="a"/>
    <w:semiHidden/>
    <w:unhideWhenUsed/>
    <w:qFormat/>
    <w:pPr>
      <w:keepNext/>
      <w:keepLines/>
      <w:ind w:firstLineChars="200" w:firstLine="880"/>
      <w:outlineLvl w:val="2"/>
    </w:pPr>
    <w:rPr>
      <w:rFonts w:eastAsia="黑体"/>
    </w:rPr>
  </w:style>
  <w:style w:type="paragraph" w:styleId="4">
    <w:name w:val="heading 4"/>
    <w:basedOn w:val="a"/>
    <w:next w:val="a"/>
    <w:semiHidden/>
    <w:unhideWhenUsed/>
    <w:qFormat/>
    <w:pPr>
      <w:keepNext/>
      <w:keepLines/>
      <w:outlineLvl w:val="3"/>
    </w:pPr>
    <w:rPr>
      <w:rFonts w:ascii="Arial" w:eastAsia="黑体" w:hAnsi="Arial"/>
    </w:rPr>
  </w:style>
  <w:style w:type="paragraph" w:styleId="5">
    <w:name w:val="heading 5"/>
    <w:basedOn w:val="a"/>
    <w:next w:val="a"/>
    <w:semiHidden/>
    <w:unhideWhenUsed/>
    <w:qFormat/>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hint="eastAsia"/>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575</Words>
  <Characters>3278</Characters>
  <Application>Microsoft Office Word</Application>
  <DocSecurity>0</DocSecurity>
  <Lines>27</Lines>
  <Paragraphs>7</Paragraphs>
  <ScaleCrop>false</ScaleCrop>
  <Company>CHINA</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qin liu</cp:lastModifiedBy>
  <cp:revision>3</cp:revision>
  <dcterms:created xsi:type="dcterms:W3CDTF">2021-03-22T03:07:00Z</dcterms:created>
  <dcterms:modified xsi:type="dcterms:W3CDTF">2021-03-22T03:08:00Z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