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sz w:val="84"/>
          <w:szCs w:val="84"/>
        </w:rPr>
      </w:pPr>
      <w:r>
        <w:rPr>
          <w:rFonts w:hint="eastAsia"/>
          <w:sz w:val="84"/>
          <w:szCs w:val="84"/>
        </w:rPr>
        <w:t>2019年度</w:t>
      </w:r>
    </w:p>
    <w:p>
      <w:pPr>
        <w:pStyle w:val="16"/>
        <w:jc w:val="center"/>
        <w:rPr>
          <w:sz w:val="84"/>
          <w:szCs w:val="84"/>
        </w:rPr>
      </w:pPr>
      <w:r>
        <w:rPr>
          <w:rFonts w:hint="eastAsia"/>
          <w:sz w:val="84"/>
          <w:szCs w:val="84"/>
          <w:lang w:eastAsia="zh-CN"/>
        </w:rPr>
        <w:t>益阳市</w:t>
      </w:r>
      <w:r>
        <w:rPr>
          <w:rFonts w:hint="eastAsia"/>
          <w:sz w:val="84"/>
          <w:szCs w:val="84"/>
        </w:rPr>
        <w:t>资阳区图书馆部门决算</w:t>
      </w: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rPr>
          <w:sz w:val="56"/>
          <w:szCs w:val="56"/>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sz w:val="56"/>
          <w:szCs w:val="56"/>
        </w:rPr>
      </w:pPr>
    </w:p>
    <w:p>
      <w:pPr>
        <w:pStyle w:val="16"/>
        <w:spacing w:line="520" w:lineRule="exact"/>
        <w:jc w:val="center"/>
        <w:rPr>
          <w:sz w:val="56"/>
          <w:szCs w:val="56"/>
        </w:rPr>
      </w:pPr>
      <w:r>
        <w:rPr>
          <w:rFonts w:hint="eastAsia"/>
          <w:sz w:val="56"/>
          <w:szCs w:val="56"/>
        </w:rPr>
        <w:t>目录</w:t>
      </w:r>
    </w:p>
    <w:p>
      <w:pPr>
        <w:pStyle w:val="16"/>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益阳市</w:t>
      </w:r>
      <w:r>
        <w:rPr>
          <w:rFonts w:hint="eastAsia"/>
          <w:b/>
          <w:sz w:val="28"/>
          <w:szCs w:val="28"/>
        </w:rPr>
        <w:t>资阳区图书馆概况</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6"/>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6"/>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sz w:val="72"/>
          <w:szCs w:val="72"/>
        </w:rPr>
      </w:pPr>
      <w:r>
        <w:rPr>
          <w:rFonts w:ascii="黑体" w:hAnsi="黑体" w:eastAsia="黑体" w:cs="黑体"/>
          <w:b/>
          <w:color w:val="000000"/>
          <w:kern w:val="0"/>
          <w:sz w:val="28"/>
          <w:szCs w:val="28"/>
        </w:rPr>
        <w:t>第五部分附件</w:t>
      </w:r>
    </w:p>
    <w:p>
      <w:pPr>
        <w:pStyle w:val="16"/>
        <w:rPr>
          <w:sz w:val="44"/>
          <w:szCs w:val="44"/>
        </w:rPr>
      </w:pPr>
      <w:r>
        <w:rPr>
          <w:rFonts w:hint="eastAsia"/>
          <w:sz w:val="44"/>
          <w:szCs w:val="44"/>
        </w:rPr>
        <w:t>第一部分</w:t>
      </w:r>
      <w:r>
        <w:rPr>
          <w:sz w:val="44"/>
          <w:szCs w:val="44"/>
        </w:rPr>
        <w:t xml:space="preserve"> </w:t>
      </w:r>
      <w:r>
        <w:rPr>
          <w:rFonts w:hint="eastAsia"/>
          <w:sz w:val="44"/>
          <w:szCs w:val="44"/>
          <w:lang w:eastAsia="zh-CN"/>
        </w:rPr>
        <w:t>益阳市</w:t>
      </w:r>
      <w:r>
        <w:rPr>
          <w:rFonts w:hint="eastAsia"/>
          <w:sz w:val="44"/>
          <w:szCs w:val="44"/>
        </w:rPr>
        <w:t>资阳区图书馆概况</w:t>
      </w:r>
    </w:p>
    <w:p>
      <w:pPr>
        <w:pStyle w:val="17"/>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益阳市</w:t>
      </w:r>
      <w:r>
        <w:rPr>
          <w:rFonts w:hint="eastAsia" w:asciiTheme="minorEastAsia" w:hAnsiTheme="minorEastAsia"/>
          <w:bCs/>
          <w:kern w:val="0"/>
          <w:sz w:val="32"/>
          <w:szCs w:val="32"/>
        </w:rPr>
        <w:t>资阳区图书馆位于益阳市资阳区汽车路街道城门外社区五一东路531号。其主要职能如下：</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1、负责书刊资料和电子文献资源的整理和管理工作。</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2、对各类书刊进行科学管理，安全保护、合理布局、清点剔除和建立健全文献固定资产帐目，开展馆际互借、文献传递，实行文献资源共享。</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3、根据国家规定的文献分类、著录标准和机读目录格式，组织各类文献的分类、编目、加工整理，并逐步完善计算机馆藏书目数据库。</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4、利用图书、期刊、资料、报纸、图片、声像、电子文献等各种媒体，创造较好的读书环境和文化氛围。</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5、开展参考咨询和信息服务工作，开展文献检索的教学和辅导工作。</w:t>
      </w:r>
    </w:p>
    <w:p>
      <w:pPr>
        <w:widowControl/>
        <w:rPr>
          <w:rFonts w:ascii="仿宋_GB2312" w:eastAsia="仿宋_GB2312"/>
          <w:bCs/>
          <w:kern w:val="0"/>
          <w:sz w:val="32"/>
          <w:szCs w:val="32"/>
        </w:rPr>
      </w:pPr>
      <w:r>
        <w:rPr>
          <w:rFonts w:hint="eastAsia" w:ascii="黑体" w:hAnsi="黑体" w:eastAsia="黑体"/>
          <w:bCs/>
          <w:kern w:val="0"/>
          <w:sz w:val="32"/>
          <w:szCs w:val="32"/>
        </w:rPr>
        <w:t>二、机构设置及决算单位构成</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益阳市</w:t>
      </w:r>
      <w:r>
        <w:rPr>
          <w:rFonts w:hint="eastAsia" w:asciiTheme="minorEastAsia" w:hAnsiTheme="minorEastAsia"/>
          <w:bCs/>
          <w:kern w:val="0"/>
          <w:sz w:val="32"/>
          <w:szCs w:val="32"/>
        </w:rPr>
        <w:t>资阳区图书馆内设机构包括：办公室、电子阅览室、多媒体室、少儿室、外借室、辅导室、咨询室、期刊室、阅览室、采编室、古籍室11个室。</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益阳市</w:t>
      </w:r>
      <w:r>
        <w:rPr>
          <w:rFonts w:hint="eastAsia" w:asciiTheme="minorEastAsia" w:hAnsiTheme="minorEastAsia"/>
          <w:bCs/>
          <w:kern w:val="0"/>
          <w:sz w:val="32"/>
          <w:szCs w:val="32"/>
        </w:rPr>
        <w:t>资阳区图书馆2019年部门决算汇总公开单位构成包括：</w:t>
      </w:r>
      <w:r>
        <w:rPr>
          <w:rFonts w:hint="eastAsia" w:asciiTheme="minorEastAsia" w:hAnsiTheme="minorEastAsia"/>
          <w:bCs/>
          <w:kern w:val="0"/>
          <w:sz w:val="32"/>
          <w:szCs w:val="32"/>
          <w:lang w:eastAsia="zh-CN"/>
        </w:rPr>
        <w:t>益阳市</w:t>
      </w:r>
      <w:r>
        <w:rPr>
          <w:rFonts w:hint="eastAsia" w:asciiTheme="minorEastAsia" w:hAnsiTheme="minorEastAsia"/>
          <w:bCs/>
          <w:kern w:val="0"/>
          <w:sz w:val="32"/>
          <w:szCs w:val="32"/>
        </w:rPr>
        <w:t>资阳区图书馆本级。</w:t>
      </w:r>
    </w:p>
    <w:p>
      <w:pPr>
        <w:spacing w:line="500" w:lineRule="exact"/>
        <w:ind w:firstLine="640" w:firstLineChars="200"/>
        <w:rPr>
          <w:rFonts w:asciiTheme="minorEastAsia" w:hAnsiTheme="minorEastAsia"/>
          <w:bCs/>
          <w:kern w:val="0"/>
          <w:sz w:val="32"/>
          <w:szCs w:val="32"/>
        </w:rPr>
      </w:pPr>
    </w:p>
    <w:p>
      <w:pPr>
        <w:pStyle w:val="16"/>
        <w:numPr>
          <w:ilvl w:val="0"/>
          <w:numId w:val="2"/>
        </w:numPr>
        <w:rPr>
          <w:sz w:val="44"/>
          <w:szCs w:val="44"/>
        </w:rPr>
      </w:pPr>
      <w:r>
        <w:rPr>
          <w:rFonts w:hint="eastAsia"/>
          <w:sz w:val="44"/>
          <w:szCs w:val="44"/>
        </w:rPr>
        <w:t>部门决算表（见附表）</w:t>
      </w:r>
    </w:p>
    <w:p>
      <w:pPr>
        <w:pStyle w:val="16"/>
        <w:rPr>
          <w:sz w:val="44"/>
          <w:szCs w:val="44"/>
        </w:rPr>
      </w:pPr>
    </w:p>
    <w:p>
      <w:pPr>
        <w:pStyle w:val="16"/>
        <w:jc w:val="both"/>
        <w:rPr>
          <w:sz w:val="48"/>
          <w:szCs w:val="48"/>
        </w:rPr>
      </w:pPr>
      <w:r>
        <w:rPr>
          <w:rFonts w:hint="eastAsia"/>
          <w:sz w:val="44"/>
          <w:szCs w:val="44"/>
        </w:rPr>
        <w:t>第三部分2019年度部门决算情况说明</w:t>
      </w:r>
    </w:p>
    <w:p>
      <w:pPr>
        <w:pStyle w:val="16"/>
        <w:rPr>
          <w:rFonts w:hAnsi="黑体"/>
          <w:b/>
          <w:sz w:val="32"/>
          <w:szCs w:val="32"/>
        </w:rPr>
      </w:pPr>
      <w:r>
        <w:rPr>
          <w:rFonts w:hint="eastAsia" w:hAnsi="黑体"/>
          <w:b/>
          <w:sz w:val="32"/>
          <w:szCs w:val="32"/>
        </w:rPr>
        <w:t>一、收入支出决算总体情况说明</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年度收、支总计195.04万元，与2018年相比，减少13.31万元,减少7.11%，主要是因为厉行节约，减少运行经费支出。</w:t>
      </w:r>
    </w:p>
    <w:p>
      <w:pPr>
        <w:pStyle w:val="16"/>
        <w:rPr>
          <w:rFonts w:hAnsi="黑体"/>
          <w:b/>
          <w:sz w:val="32"/>
          <w:szCs w:val="32"/>
        </w:rPr>
      </w:pPr>
      <w:r>
        <w:rPr>
          <w:rFonts w:hint="eastAsia" w:hAnsi="黑体"/>
          <w:b/>
          <w:sz w:val="32"/>
          <w:szCs w:val="32"/>
        </w:rPr>
        <w:t>二、收入决算情况说明</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本年收入合计185.47万元，其中：财政拨款收入164.25万元，占88.56%；上级补助收入0万元，占0%；事业收入0万元，占0%；经营收入0万元，占0%；附属单位上缴收入0万元，占0%；其他收入21.22万元，占11.44%。</w:t>
      </w:r>
    </w:p>
    <w:p>
      <w:pPr>
        <w:pStyle w:val="16"/>
        <w:rPr>
          <w:rFonts w:hAnsi="黑体"/>
          <w:b/>
          <w:sz w:val="32"/>
          <w:szCs w:val="32"/>
        </w:rPr>
      </w:pPr>
      <w:r>
        <w:rPr>
          <w:rFonts w:hint="eastAsia" w:hAnsi="黑体"/>
          <w:b/>
          <w:sz w:val="32"/>
          <w:szCs w:val="32"/>
        </w:rPr>
        <w:t>三、支出决算情况说明</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本年支出合计147.04万元，其中：基本支出125.81万元，占85.56%；项目支出21.22万元，占14.44%；上缴上级支出0万元，占0%；经营支出0万元，占0%；对附属单位补助支出0万元，占0%。</w:t>
      </w:r>
    </w:p>
    <w:p>
      <w:pPr>
        <w:pStyle w:val="16"/>
        <w:rPr>
          <w:rFonts w:hAnsi="黑体"/>
          <w:b/>
          <w:sz w:val="32"/>
          <w:szCs w:val="32"/>
        </w:rPr>
      </w:pPr>
      <w:r>
        <w:rPr>
          <w:rFonts w:hint="eastAsia" w:hAnsi="黑体"/>
          <w:b/>
          <w:sz w:val="32"/>
          <w:szCs w:val="32"/>
        </w:rPr>
        <w:t>四、财政拨款收入支出决算总体情况说明</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2019年度财政拨款收、支总计173.82万元，与2018年相比，减少13.31万元,减少7.11%，主要是因为厉行节约，减少运行经费支出。</w:t>
      </w:r>
    </w:p>
    <w:p>
      <w:pPr>
        <w:pStyle w:val="16"/>
        <w:numPr>
          <w:ilvl w:val="0"/>
          <w:numId w:val="3"/>
        </w:numPr>
        <w:outlineLvl w:val="1"/>
        <w:rPr>
          <w:rFonts w:hAnsi="黑体"/>
          <w:b/>
          <w:sz w:val="32"/>
          <w:szCs w:val="32"/>
        </w:rPr>
      </w:pPr>
      <w:r>
        <w:rPr>
          <w:rFonts w:hint="eastAsia" w:hAnsi="黑体"/>
          <w:b/>
          <w:sz w:val="32"/>
          <w:szCs w:val="32"/>
        </w:rPr>
        <w:t>一般公共预算财政拨款支出决算情况说明</w:t>
      </w:r>
    </w:p>
    <w:p>
      <w:pPr>
        <w:pStyle w:val="16"/>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2019年度财政拨款支出125.81万元，占本年支出合计的86%，与2018年相比，财政拨款支出减少1.93万元，减少2%，主要是因为公用费用减少。</w:t>
      </w:r>
    </w:p>
    <w:p>
      <w:pPr>
        <w:pStyle w:val="16"/>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2019年度财政拨款支出125.81万元，主要用于以下方面：一般公共服务（类）支出125.81万元，占100%；教育（类）支出0万元，占0%。</w:t>
      </w:r>
    </w:p>
    <w:p>
      <w:pPr>
        <w:pStyle w:val="16"/>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2019年度财政拨款支出年初预算数为125.81万元，支出决算数为125.81万元，完成年初预算的100%，其中：</w:t>
      </w:r>
    </w:p>
    <w:p>
      <w:pPr>
        <w:pStyle w:val="16"/>
        <w:ind w:left="638" w:leftChars="304"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1、一般公共服务（类）文化和旅游（款）行政运行（项）。</w:t>
      </w:r>
    </w:p>
    <w:p>
      <w:pPr>
        <w:pStyle w:val="16"/>
        <w:ind w:left="638" w:leftChars="304"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年初预算为93.78万元，支出决算为93.78万元，完成</w:t>
      </w:r>
    </w:p>
    <w:p>
      <w:pPr>
        <w:pStyle w:val="16"/>
        <w:rPr>
          <w:rFonts w:asciiTheme="minorEastAsia" w:hAnsiTheme="minorEastAsia" w:eastAsiaTheme="minorEastAsia"/>
          <w:sz w:val="32"/>
          <w:szCs w:val="32"/>
        </w:rPr>
      </w:pPr>
      <w:r>
        <w:rPr>
          <w:rFonts w:hint="eastAsia" w:asciiTheme="minorEastAsia" w:hAnsiTheme="minorEastAsia" w:eastAsiaTheme="minorEastAsia"/>
          <w:sz w:val="32"/>
          <w:szCs w:val="32"/>
        </w:rPr>
        <w:t>年初预算的100%。</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2、一般公共服务（类）其他文化体育与传媒支出（款）  机关事业单位基本养老保险缴费支出（项）。</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年初预算为11.72万元，支出决算为11.72万元，完成年初预算的100%。</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3、一般公共服务（类）卫生健康支出（款）事业单位医疗（项）。</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年初预算为13.28万元，支出决算为13.28万元，完成年初预算的100%。</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4、一般公共服务（类）住房保障支出（款）住房公积金（项）。</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年初预算为70.3万元，支出决算为70.3万元，完成年初预算的100%。</w:t>
      </w:r>
    </w:p>
    <w:p>
      <w:pPr>
        <w:pStyle w:val="16"/>
        <w:outlineLvl w:val="1"/>
        <w:rPr>
          <w:rFonts w:hAnsi="黑体"/>
          <w:b/>
          <w:sz w:val="32"/>
          <w:szCs w:val="32"/>
        </w:rPr>
      </w:pPr>
      <w:r>
        <w:rPr>
          <w:rFonts w:hint="eastAsia" w:hAnsi="黑体"/>
          <w:b/>
          <w:sz w:val="32"/>
          <w:szCs w:val="32"/>
        </w:rPr>
        <w:t>六、一般公共预算财政拨款基本支出决算情况说明</w:t>
      </w:r>
    </w:p>
    <w:p>
      <w:pPr>
        <w:pStyle w:val="1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125.81万元，其中：人员经费107.82万元，占基本支出的86%，主要包括基本工资、津贴补贴、奖金、伙食补助费、社会保障缴费、住房公积金及其他工资福利支出；公用经费17.99万元，占基本支出的14%，主要包括办公费、印刷费、咨询费、手续费、水电费、邮电费、差旅费、维修（护）费、会议费、培训费、专用材料费、办公设备购置等。</w:t>
      </w:r>
    </w:p>
    <w:p>
      <w:pPr>
        <w:pStyle w:val="16"/>
        <w:outlineLvl w:val="1"/>
        <w:rPr>
          <w:rFonts w:hAnsi="黑体"/>
          <w:b/>
          <w:sz w:val="32"/>
          <w:szCs w:val="32"/>
        </w:rPr>
      </w:pPr>
      <w:r>
        <w:rPr>
          <w:rFonts w:hint="eastAsia" w:hAnsi="黑体"/>
          <w:b/>
          <w:sz w:val="32"/>
          <w:szCs w:val="32"/>
        </w:rPr>
        <w:t>七、一般公共预算财政拨款三公经费支出决算情况说明</w:t>
      </w:r>
    </w:p>
    <w:p>
      <w:pPr>
        <w:pStyle w:val="16"/>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“三公”经费财政拨款支出预算为0万元，支出决算为0万元，完成预算的0%，其中：</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因公出国（境）费支出预算为0万元，支出决算为0万元，完成预算的0%，决算数大于（小于）年初预算数的主要原因是无，与上年相比减少（增加）0万元，减少（增长）0%,减少（增长）的主要原因是无。</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公务接待费支出预算为0万元，支出决算为0万元，完成预算的0%，决算数大于（小于）年初预算数的主要原因是无，与上年相比减少（增加）0万元，减少（增长）0%,减少（增长）的主要原因是无公务接待。</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完成预算的0%，决算数大于（小于）年初预算数的主要原因是无，与上年相比减少（增加）0万元，减少（增长）0%,减少（增长）的主要原因是无。</w:t>
      </w:r>
    </w:p>
    <w:p>
      <w:pPr>
        <w:pStyle w:val="16"/>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2019年度“三公”经费财政拨款支出决算中，公务接待费支出决算0万元，占0%,因公出国（境）费支出决算0万元，占0%,公务用车购置费及运行维护费支出决算0万元，占0%。其中：</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1、因公出国（境）费支出决算为0万元，全年安排因公出国（境）团组0个，累计0人次,无开支内容。</w:t>
      </w:r>
    </w:p>
    <w:p>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2、公务接待费支出决算为0万元，全年共接待来访团组0个、来宾0人次，主要是无发生的接待支出。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3、公务用车购置费及运行维护费支出决算为0万元，其中：公务用车购置费0万元，无（单位本级或某二级机构）更新公务用车0辆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公务用车运行维护费0万元，主要是无支出，截止2019年12月31日，我单位开支财政拨款的公务用车保有量为0辆。</w:t>
      </w:r>
    </w:p>
    <w:p>
      <w:pPr>
        <w:pStyle w:val="16"/>
        <w:outlineLvl w:val="1"/>
        <w:rPr>
          <w:rFonts w:hAnsi="黑体"/>
          <w:b/>
          <w:sz w:val="32"/>
          <w:szCs w:val="32"/>
        </w:rPr>
      </w:pPr>
      <w:r>
        <w:rPr>
          <w:rFonts w:hint="eastAsia" w:hAnsi="黑体"/>
          <w:b/>
          <w:sz w:val="32"/>
          <w:szCs w:val="32"/>
        </w:rPr>
        <w:t>八、政府性基金预算收入支出决算情况</w:t>
      </w:r>
    </w:p>
    <w:p>
      <w:pPr>
        <w:pStyle w:val="16"/>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2019年度政府性基金预算财政拨款收入0万元；年初结转和结余0万元；支出0万元，其中基本支出0万元，项目支出0万元；年末结转和结余0万元。</w:t>
      </w:r>
    </w:p>
    <w:p>
      <w:pPr>
        <w:pStyle w:val="16"/>
        <w:outlineLvl w:val="1"/>
        <w:rPr>
          <w:rFonts w:hAnsi="黑体"/>
          <w:b/>
          <w:sz w:val="32"/>
          <w:szCs w:val="32"/>
        </w:rPr>
      </w:pPr>
      <w:r>
        <w:rPr>
          <w:rFonts w:hint="eastAsia" w:hAnsi="黑体"/>
          <w:b/>
          <w:sz w:val="32"/>
          <w:szCs w:val="32"/>
        </w:rPr>
        <w:t>九、关于2019年度预算绩效情况说明</w:t>
      </w:r>
    </w:p>
    <w:p>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本部门预算绩效管理开展情况、绩效目标和绩效评价报告,无。</w:t>
      </w:r>
    </w:p>
    <w:p>
      <w:pPr>
        <w:pStyle w:val="16"/>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本部门2019 年度机关运行经费支出17.99万元，</w:t>
      </w:r>
      <w:r>
        <w:rPr>
          <w:rFonts w:hint="eastAsia" w:asciiTheme="minorEastAsia" w:hAnsiTheme="minorEastAsia"/>
          <w:color w:val="000000"/>
          <w:sz w:val="32"/>
          <w:szCs w:val="32"/>
        </w:rPr>
        <w:t>比年初预算数增加13.63万元，</w:t>
      </w:r>
      <w:r>
        <w:rPr>
          <w:rFonts w:hint="eastAsia" w:asciiTheme="minorEastAsia" w:hAnsiTheme="minorEastAsia"/>
          <w:sz w:val="32"/>
          <w:szCs w:val="32"/>
        </w:rPr>
        <w:t>增长312.61%。</w:t>
      </w:r>
      <w:r>
        <w:rPr>
          <w:rFonts w:hint="eastAsia" w:asciiTheme="minorEastAsia" w:hAnsiTheme="minorEastAsia"/>
          <w:color w:val="000000"/>
          <w:sz w:val="32"/>
          <w:szCs w:val="32"/>
        </w:rPr>
        <w:t>主要原因是：</w:t>
      </w:r>
      <w:r>
        <w:rPr>
          <w:rFonts w:hint="eastAsia" w:cs="黑体" w:asciiTheme="minorEastAsia" w:hAnsiTheme="minorEastAsia"/>
          <w:color w:val="000000"/>
          <w:kern w:val="0"/>
          <w:sz w:val="32"/>
          <w:szCs w:val="32"/>
        </w:rPr>
        <w:t>机关运行经费支出年初预算与决算的口径不一致，年初预算机关运行经费只</w:t>
      </w:r>
      <w:r>
        <w:rPr>
          <w:rFonts w:hint="eastAsia" w:ascii="宋体" w:hAnsi="宋体" w:eastAsia="宋体" w:cs="黑体"/>
          <w:color w:val="000000"/>
          <w:kern w:val="0"/>
          <w:sz w:val="32"/>
          <w:szCs w:val="32"/>
        </w:rPr>
        <w:t>包括办公</w:t>
      </w:r>
      <w:r>
        <w:rPr>
          <w:rFonts w:hint="eastAsia" w:cs="黑体" w:asciiTheme="minorEastAsia" w:hAnsiTheme="minorEastAsia"/>
          <w:color w:val="000000"/>
          <w:kern w:val="0"/>
          <w:sz w:val="32"/>
          <w:szCs w:val="32"/>
        </w:rPr>
        <w:t>、工会、福利</w:t>
      </w:r>
      <w:r>
        <w:rPr>
          <w:rFonts w:hint="eastAsia" w:ascii="宋体" w:hAnsi="宋体" w:eastAsia="宋体" w:cs="黑体"/>
          <w:color w:val="000000"/>
          <w:kern w:val="0"/>
          <w:sz w:val="32"/>
          <w:szCs w:val="32"/>
        </w:rPr>
        <w:t>费、公务用车运行维护费以及其他</w:t>
      </w:r>
      <w:r>
        <w:rPr>
          <w:rFonts w:hint="eastAsia" w:cs="黑体" w:asciiTheme="minorEastAsia" w:hAnsiTheme="minorEastAsia"/>
          <w:color w:val="000000"/>
          <w:kern w:val="0"/>
          <w:sz w:val="32"/>
          <w:szCs w:val="32"/>
        </w:rPr>
        <w:t>交通</w:t>
      </w:r>
      <w:r>
        <w:rPr>
          <w:rFonts w:hint="eastAsia" w:ascii="宋体" w:hAnsi="宋体" w:eastAsia="宋体" w:cs="黑体"/>
          <w:color w:val="000000"/>
          <w:kern w:val="0"/>
          <w:sz w:val="32"/>
          <w:szCs w:val="32"/>
        </w:rPr>
        <w:t>费用。</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0万元，用于召开0会议，人数0人，内容为无；开支培训费1.64万元，用于开展图书馆评估达标培训，人数10人，内容为学习参观中国图书馆学会培训学习；举办等节庆、晚会、论坛、赛事活动，开支0万元，主要是无。（注：三类会议、培训活动，节庆、晚会、论坛、赛事等活动，请分项列明活动计划及经费预算情况）</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0辆，其中，领导干部用车0辆、机要通信用车0辆、应急保障用车0辆、执法执勤用车0辆、特种专业技术用车0辆、其他用车0辆，其他用车主要是无；单位价值50万元以上通用设备0台（套）；单位价值100万元以上专用设备0台（套）。</w:t>
      </w:r>
    </w:p>
    <w:p>
      <w:pPr>
        <w:ind w:firstLine="640" w:firstLineChars="200"/>
        <w:rPr>
          <w:rFonts w:cs="黑体" w:asciiTheme="minorEastAsia" w:hAnsiTheme="minorEastAsia"/>
          <w:color w:val="000000"/>
          <w:kern w:val="0"/>
          <w:sz w:val="32"/>
          <w:szCs w:val="32"/>
        </w:rPr>
      </w:pPr>
    </w:p>
    <w:p>
      <w:pPr>
        <w:pStyle w:val="16"/>
        <w:jc w:val="both"/>
        <w:outlineLvl w:val="0"/>
        <w:rPr>
          <w:sz w:val="44"/>
          <w:szCs w:val="44"/>
        </w:rPr>
      </w:pPr>
      <w:r>
        <w:rPr>
          <w:rFonts w:hint="eastAsia"/>
          <w:sz w:val="44"/>
          <w:szCs w:val="44"/>
        </w:rPr>
        <w:t>第四部分名词解释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6"/>
        <w:numPr>
          <w:ilvl w:val="0"/>
          <w:numId w:val="4"/>
        </w:numPr>
        <w:jc w:val="both"/>
        <w:outlineLvl w:val="0"/>
        <w:rPr>
          <w:sz w:val="44"/>
          <w:szCs w:val="44"/>
        </w:rPr>
      </w:pPr>
      <w:r>
        <w:rPr>
          <w:rFonts w:hint="eastAsia"/>
          <w:sz w:val="44"/>
          <w:szCs w:val="44"/>
        </w:rPr>
        <w:t>附件</w:t>
      </w:r>
    </w:p>
    <w:p>
      <w:pPr>
        <w:pStyle w:val="16"/>
        <w:ind w:firstLine="640" w:firstLineChars="200"/>
        <w:jc w:val="both"/>
        <w:outlineLvl w:val="0"/>
      </w:pPr>
      <w:r>
        <w:rPr>
          <w:rFonts w:hint="eastAsia" w:ascii="仿宋" w:hAnsi="仿宋" w:eastAsia="仿宋" w:cs="仿宋"/>
          <w:color w:val="auto"/>
          <w:kern w:val="2"/>
          <w:sz w:val="32"/>
          <w:szCs w:val="22"/>
        </w:rPr>
        <w:t>2019年度</w:t>
      </w:r>
      <w:r>
        <w:rPr>
          <w:rFonts w:hint="eastAsia" w:ascii="仿宋" w:hAnsi="仿宋" w:eastAsia="仿宋" w:cs="仿宋"/>
          <w:color w:val="auto"/>
          <w:kern w:val="2"/>
          <w:sz w:val="32"/>
          <w:szCs w:val="22"/>
          <w:lang w:eastAsia="zh-CN"/>
        </w:rPr>
        <w:t>益阳市</w:t>
      </w:r>
      <w:bookmarkStart w:id="0" w:name="_GoBack"/>
      <w:bookmarkEnd w:id="0"/>
      <w:r>
        <w:rPr>
          <w:rFonts w:hint="eastAsia" w:ascii="仿宋" w:hAnsi="仿宋" w:eastAsia="仿宋" w:cs="仿宋"/>
          <w:color w:val="auto"/>
          <w:kern w:val="2"/>
          <w:sz w:val="32"/>
          <w:szCs w:val="22"/>
        </w:rPr>
        <w:t>资阳区图书馆部门决算公开表格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1B0D4EB1"/>
    <w:multiLevelType w:val="singleLevel"/>
    <w:tmpl w:val="1B0D4EB1"/>
    <w:lvl w:ilvl="0" w:tentative="0">
      <w:start w:val="5"/>
      <w:numFmt w:val="chineseCounting"/>
      <w:suff w:val="space"/>
      <w:lvlText w:val="第%1部分"/>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6E1C2B"/>
    <w:rsid w:val="00083CE7"/>
    <w:rsid w:val="001B2771"/>
    <w:rsid w:val="00580D9A"/>
    <w:rsid w:val="006009D4"/>
    <w:rsid w:val="0082007A"/>
    <w:rsid w:val="0084246B"/>
    <w:rsid w:val="00A92C69"/>
    <w:rsid w:val="00AD1DC2"/>
    <w:rsid w:val="00C34D68"/>
    <w:rsid w:val="00D73822"/>
    <w:rsid w:val="00F5410A"/>
    <w:rsid w:val="04F233F6"/>
    <w:rsid w:val="04FF7FA6"/>
    <w:rsid w:val="0716082E"/>
    <w:rsid w:val="086D4772"/>
    <w:rsid w:val="08864F04"/>
    <w:rsid w:val="09CB290D"/>
    <w:rsid w:val="0D137CB2"/>
    <w:rsid w:val="0F6E1C2B"/>
    <w:rsid w:val="1083372A"/>
    <w:rsid w:val="126F3CD9"/>
    <w:rsid w:val="18F26F36"/>
    <w:rsid w:val="1B3572C7"/>
    <w:rsid w:val="1DDC457F"/>
    <w:rsid w:val="206D6EE3"/>
    <w:rsid w:val="208F003F"/>
    <w:rsid w:val="210C4989"/>
    <w:rsid w:val="271D7B29"/>
    <w:rsid w:val="27373FE5"/>
    <w:rsid w:val="2B541D46"/>
    <w:rsid w:val="2BB35ED4"/>
    <w:rsid w:val="2C7023BC"/>
    <w:rsid w:val="31CD6AB8"/>
    <w:rsid w:val="32C5175B"/>
    <w:rsid w:val="356133AB"/>
    <w:rsid w:val="36313B69"/>
    <w:rsid w:val="3A804E10"/>
    <w:rsid w:val="3C4E7F39"/>
    <w:rsid w:val="3CF507C5"/>
    <w:rsid w:val="415356CE"/>
    <w:rsid w:val="432912C2"/>
    <w:rsid w:val="455E6202"/>
    <w:rsid w:val="47922311"/>
    <w:rsid w:val="49100321"/>
    <w:rsid w:val="4D594549"/>
    <w:rsid w:val="4F351C10"/>
    <w:rsid w:val="4F784BC7"/>
    <w:rsid w:val="51194F31"/>
    <w:rsid w:val="52113E22"/>
    <w:rsid w:val="57862D3A"/>
    <w:rsid w:val="57E67E07"/>
    <w:rsid w:val="5AA573F8"/>
    <w:rsid w:val="5B267A05"/>
    <w:rsid w:val="5C6265DB"/>
    <w:rsid w:val="5EB743D6"/>
    <w:rsid w:val="5F020277"/>
    <w:rsid w:val="60886CDE"/>
    <w:rsid w:val="626B7D00"/>
    <w:rsid w:val="63F33B74"/>
    <w:rsid w:val="665A49B0"/>
    <w:rsid w:val="67E64DB1"/>
    <w:rsid w:val="6A0640C6"/>
    <w:rsid w:val="6B1E39B7"/>
    <w:rsid w:val="6C9A54DE"/>
    <w:rsid w:val="6EC85910"/>
    <w:rsid w:val="6FF8405F"/>
    <w:rsid w:val="749261B6"/>
    <w:rsid w:val="77240CC9"/>
    <w:rsid w:val="77931FE8"/>
    <w:rsid w:val="78EE7AEE"/>
    <w:rsid w:val="79C5189E"/>
    <w:rsid w:val="7A4F5AED"/>
    <w:rsid w:val="7D882300"/>
    <w:rsid w:val="7EDB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
      <w:kern w:val="44"/>
      <w:sz w:val="32"/>
    </w:rPr>
  </w:style>
  <w:style w:type="paragraph" w:styleId="3">
    <w:name w:val="heading 2"/>
    <w:basedOn w:val="1"/>
    <w:next w:val="1"/>
    <w:unhideWhenUsed/>
    <w:qFormat/>
    <w:uiPriority w:val="0"/>
    <w:pPr>
      <w:keepNext/>
      <w:keepLines/>
      <w:ind w:firstLine="880" w:firstLineChars="200"/>
      <w:outlineLvl w:val="1"/>
    </w:pPr>
    <w:rPr>
      <w:rFonts w:ascii="Arial" w:hAnsi="Arial" w:eastAsia="黑体"/>
    </w:rPr>
  </w:style>
  <w:style w:type="paragraph" w:styleId="4">
    <w:name w:val="heading 3"/>
    <w:basedOn w:val="1"/>
    <w:next w:val="1"/>
    <w:unhideWhenUsed/>
    <w:qFormat/>
    <w:uiPriority w:val="0"/>
    <w:pPr>
      <w:keepNext/>
      <w:keepLines/>
      <w:ind w:firstLine="880" w:firstLineChars="200"/>
      <w:outlineLvl w:val="2"/>
    </w:pPr>
    <w:rPr>
      <w:rFonts w:eastAsia="黑体"/>
    </w:rPr>
  </w:style>
  <w:style w:type="paragraph" w:styleId="5">
    <w:name w:val="heading 4"/>
    <w:basedOn w:val="1"/>
    <w:next w:val="1"/>
    <w:unhideWhenUsed/>
    <w:qFormat/>
    <w:uiPriority w:val="0"/>
    <w:pPr>
      <w:keepNext/>
      <w:keepLines/>
      <w:outlineLvl w:val="3"/>
    </w:pPr>
    <w:rPr>
      <w:rFonts w:ascii="Arial" w:hAnsi="Arial" w:eastAsia="黑体"/>
    </w:rPr>
  </w:style>
  <w:style w:type="paragraph" w:styleId="6">
    <w:name w:val="heading 5"/>
    <w:basedOn w:val="1"/>
    <w:next w:val="1"/>
    <w:unhideWhenUsed/>
    <w:qFormat/>
    <w:uiPriority w:val="0"/>
    <w:pPr>
      <w:keepNext/>
      <w:keepLines/>
      <w:outlineLvl w:val="4"/>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yperlink"/>
    <w:basedOn w:val="11"/>
    <w:qFormat/>
    <w:uiPriority w:val="0"/>
    <w:rPr>
      <w:color w:val="0000FF"/>
      <w:u w:val="non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7">
    <w:name w:val="列出段落1"/>
    <w:basedOn w:val="1"/>
    <w:qFormat/>
    <w:uiPriority w:val="34"/>
    <w:pPr>
      <w:ind w:firstLine="420" w:firstLineChars="200"/>
    </w:pPr>
  </w:style>
  <w:style w:type="character" w:customStyle="1" w:styleId="18">
    <w:name w:val="disabled"/>
    <w:basedOn w:val="11"/>
    <w:qFormat/>
    <w:uiPriority w:val="0"/>
    <w:rPr>
      <w:color w:val="FFFFFF"/>
      <w:shd w:val="clear" w:color="auto" w:fill="FE7D00"/>
    </w:rPr>
  </w:style>
  <w:style w:type="character" w:customStyle="1" w:styleId="19">
    <w:name w:val="current"/>
    <w:basedOn w:val="11"/>
    <w:qFormat/>
    <w:uiPriority w:val="0"/>
    <w:rPr>
      <w:b/>
      <w:color w:val="FFFFFF"/>
      <w:shd w:val="clear" w:color="auto" w:fill="FE7D00"/>
    </w:rPr>
  </w:style>
  <w:style w:type="character" w:customStyle="1" w:styleId="20">
    <w:name w:val="bsharetext"/>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678</Words>
  <Characters>3870</Characters>
  <Lines>32</Lines>
  <Paragraphs>9</Paragraphs>
  <TotalTime>0</TotalTime>
  <ScaleCrop>false</ScaleCrop>
  <LinksUpToDate>false</LinksUpToDate>
  <CharactersWithSpaces>4539</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2020-09-27T08:20:00Z</dcterms:created>
  <dc:creator>瓜老東童鞋</dc:creator>
  <cp:lastModifiedBy>Administrator</cp:lastModifiedBy>
  <dcterms:modified xsi:type="dcterms:W3CDTF">2020-09-30T01:42:59Z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