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2"/>
        <w:rPr>
          <w:rFonts w:hint="eastAsia"/>
        </w:rPr>
      </w:pPr>
    </w:p>
    <w:p>
      <w:pPr>
        <w:pStyle w:val="2"/>
        <w:jc w:val="center"/>
      </w:pPr>
      <w:r>
        <w:rPr>
          <w:rFonts w:hint="eastAsia"/>
          <w:lang w:eastAsia="zh-CN"/>
        </w:rPr>
        <w:t>益阳市资阳区财政局</w:t>
      </w:r>
      <w:r>
        <w:rPr>
          <w:rFonts w:hint="eastAsia"/>
        </w:rPr>
        <w:t>2019年度部门决算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2"/>
        <w:jc w:val="both"/>
      </w:pPr>
      <w:r>
        <w:rPr>
          <w:rFonts w:hint="eastAsia"/>
        </w:rPr>
        <w:t>目录</w:t>
      </w:r>
    </w:p>
    <w:p>
      <w:pPr>
        <w:pStyle w:val="4"/>
        <w:pageBreakBefore w:val="0"/>
        <w:widowControl w:val="0"/>
        <w:kinsoku/>
        <w:wordWrap/>
        <w:overflowPunct/>
        <w:topLinePunct w:val="0"/>
        <w:bidi w:val="0"/>
        <w:snapToGrid/>
        <w:spacing w:line="312" w:lineRule="auto"/>
        <w:ind w:left="0" w:leftChars="0" w:right="0" w:rightChars="0"/>
        <w:textAlignment w:val="auto"/>
        <w:rPr>
          <w:sz w:val="32"/>
          <w:szCs w:val="24"/>
        </w:rPr>
      </w:pPr>
      <w:r>
        <w:rPr>
          <w:rFonts w:hint="eastAsia"/>
          <w:sz w:val="32"/>
          <w:szCs w:val="24"/>
        </w:rPr>
        <w:t>第一部分</w:t>
      </w:r>
      <w:r>
        <w:rPr>
          <w:rFonts w:hint="eastAsia"/>
          <w:sz w:val="32"/>
          <w:szCs w:val="24"/>
          <w:lang w:eastAsia="zh-CN"/>
        </w:rPr>
        <w:t>益阳市资阳区财政局</w:t>
      </w:r>
      <w:r>
        <w:rPr>
          <w:rFonts w:hint="eastAsia"/>
          <w:sz w:val="32"/>
          <w:szCs w:val="24"/>
        </w:rPr>
        <w:t>概况</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4"/>
        <w:pageBreakBefore w:val="0"/>
        <w:widowControl w:val="0"/>
        <w:kinsoku/>
        <w:wordWrap/>
        <w:overflowPunct/>
        <w:topLinePunct w:val="0"/>
        <w:bidi w:val="0"/>
        <w:snapToGrid/>
        <w:spacing w:line="312" w:lineRule="auto"/>
        <w:ind w:left="0" w:leftChars="0" w:right="0" w:rightChars="0"/>
        <w:textAlignment w:val="auto"/>
        <w:rPr>
          <w:sz w:val="32"/>
          <w:szCs w:val="24"/>
        </w:rPr>
      </w:pPr>
      <w:r>
        <w:rPr>
          <w:rFonts w:hint="eastAsia"/>
          <w:sz w:val="32"/>
          <w:szCs w:val="24"/>
        </w:rPr>
        <w:t>第二部分</w:t>
      </w:r>
      <w:r>
        <w:rPr>
          <w:sz w:val="32"/>
          <w:szCs w:val="24"/>
        </w:rPr>
        <w:t>2019</w:t>
      </w:r>
      <w:r>
        <w:rPr>
          <w:rFonts w:hint="eastAsia"/>
          <w:sz w:val="32"/>
          <w:szCs w:val="24"/>
        </w:rPr>
        <w:t>年度部门决算表</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4"/>
        <w:pageBreakBefore w:val="0"/>
        <w:widowControl w:val="0"/>
        <w:kinsoku/>
        <w:wordWrap/>
        <w:overflowPunct/>
        <w:topLinePunct w:val="0"/>
        <w:bidi w:val="0"/>
        <w:snapToGrid/>
        <w:spacing w:line="312" w:lineRule="auto"/>
        <w:ind w:left="0" w:leftChars="0" w:right="0" w:rightChars="0"/>
        <w:textAlignment w:val="auto"/>
        <w:rPr>
          <w:sz w:val="32"/>
          <w:szCs w:val="24"/>
        </w:rPr>
      </w:pPr>
      <w:r>
        <w:rPr>
          <w:rFonts w:hint="eastAsia"/>
          <w:sz w:val="32"/>
          <w:szCs w:val="24"/>
        </w:rPr>
        <w:t>第三部分</w:t>
      </w:r>
      <w:r>
        <w:rPr>
          <w:sz w:val="32"/>
          <w:szCs w:val="24"/>
        </w:rPr>
        <w:t>2019</w:t>
      </w:r>
      <w:r>
        <w:rPr>
          <w:rFonts w:hint="eastAsia"/>
          <w:sz w:val="32"/>
          <w:szCs w:val="24"/>
        </w:rPr>
        <w:t>年度部门决算情况说明</w:t>
      </w:r>
    </w:p>
    <w:p>
      <w:pPr>
        <w:pStyle w:val="11"/>
        <w:pageBreakBefore w:val="0"/>
        <w:widowControl w:val="0"/>
        <w:kinsoku/>
        <w:wordWrap/>
        <w:overflowPunct/>
        <w:topLinePunct w:val="0"/>
        <w:bidi w:val="0"/>
        <w:snapToGrid/>
        <w:spacing w:line="312" w:lineRule="auto"/>
        <w:ind w:left="0" w:leftChars="0" w:right="0" w:rightChars="0"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pageBreakBefore w:val="0"/>
        <w:widowControl w:val="0"/>
        <w:kinsoku/>
        <w:wordWrap/>
        <w:overflowPunct/>
        <w:topLinePunct w:val="0"/>
        <w:bidi w:val="0"/>
        <w:snapToGrid/>
        <w:spacing w:line="312" w:lineRule="auto"/>
        <w:ind w:left="0" w:leftChars="0" w:right="0" w:rightChars="0"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pageBreakBefore w:val="0"/>
        <w:widowControl w:val="0"/>
        <w:kinsoku/>
        <w:wordWrap/>
        <w:overflowPunct/>
        <w:topLinePunct w:val="0"/>
        <w:autoSpaceDE w:val="0"/>
        <w:autoSpaceDN w:val="0"/>
        <w:bidi w:val="0"/>
        <w:adjustRightInd w:val="0"/>
        <w:snapToGrid/>
        <w:spacing w:line="312" w:lineRule="auto"/>
        <w:ind w:left="0" w:leftChars="0" w:right="0" w:rightChars="0"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pageBreakBefore w:val="0"/>
        <w:widowControl w:val="0"/>
        <w:kinsoku/>
        <w:wordWrap/>
        <w:overflowPunct/>
        <w:topLinePunct w:val="0"/>
        <w:autoSpaceDE w:val="0"/>
        <w:autoSpaceDN w:val="0"/>
        <w:bidi w:val="0"/>
        <w:adjustRightInd w:val="0"/>
        <w:snapToGrid/>
        <w:spacing w:line="312" w:lineRule="auto"/>
        <w:ind w:left="0" w:leftChars="0" w:right="0" w:rightChars="0"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pageBreakBefore w:val="0"/>
        <w:widowControl w:val="0"/>
        <w:kinsoku/>
        <w:wordWrap/>
        <w:overflowPunct/>
        <w:topLinePunct w:val="0"/>
        <w:autoSpaceDE w:val="0"/>
        <w:autoSpaceDN w:val="0"/>
        <w:bidi w:val="0"/>
        <w:adjustRightInd w:val="0"/>
        <w:snapToGrid/>
        <w:spacing w:line="312" w:lineRule="auto"/>
        <w:ind w:left="0" w:leftChars="0" w:right="0" w:rightChars="0"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pageBreakBefore w:val="0"/>
        <w:widowControl w:val="0"/>
        <w:kinsoku/>
        <w:wordWrap/>
        <w:overflowPunct/>
        <w:topLinePunct w:val="0"/>
        <w:autoSpaceDE w:val="0"/>
        <w:autoSpaceDN w:val="0"/>
        <w:bidi w:val="0"/>
        <w:adjustRightInd w:val="0"/>
        <w:snapToGrid/>
        <w:spacing w:line="312" w:lineRule="auto"/>
        <w:ind w:left="0" w:leftChars="0" w:right="0" w:rightChars="0"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pageBreakBefore w:val="0"/>
        <w:widowControl w:val="0"/>
        <w:kinsoku/>
        <w:wordWrap/>
        <w:overflowPunct/>
        <w:topLinePunct w:val="0"/>
        <w:autoSpaceDE w:val="0"/>
        <w:autoSpaceDN w:val="0"/>
        <w:bidi w:val="0"/>
        <w:adjustRightInd w:val="0"/>
        <w:snapToGrid/>
        <w:spacing w:line="312" w:lineRule="auto"/>
        <w:ind w:left="0" w:leftChars="0" w:right="0" w:rightChars="0"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pageBreakBefore w:val="0"/>
        <w:widowControl w:val="0"/>
        <w:kinsoku/>
        <w:wordWrap/>
        <w:overflowPunct/>
        <w:topLinePunct w:val="0"/>
        <w:autoSpaceDE w:val="0"/>
        <w:autoSpaceDN w:val="0"/>
        <w:bidi w:val="0"/>
        <w:adjustRightInd w:val="0"/>
        <w:snapToGrid/>
        <w:spacing w:line="312" w:lineRule="auto"/>
        <w:ind w:left="0" w:leftChars="0" w:right="0" w:rightChars="0"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pageBreakBefore w:val="0"/>
        <w:widowControl w:val="0"/>
        <w:kinsoku/>
        <w:wordWrap/>
        <w:overflowPunct/>
        <w:topLinePunct w:val="0"/>
        <w:autoSpaceDE w:val="0"/>
        <w:autoSpaceDN w:val="0"/>
        <w:bidi w:val="0"/>
        <w:adjustRightInd w:val="0"/>
        <w:snapToGrid/>
        <w:spacing w:line="312" w:lineRule="auto"/>
        <w:ind w:left="0" w:leftChars="0" w:right="0" w:rightChars="0"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pageBreakBefore w:val="0"/>
        <w:widowControl w:val="0"/>
        <w:kinsoku/>
        <w:wordWrap/>
        <w:overflowPunct/>
        <w:topLinePunct w:val="0"/>
        <w:autoSpaceDE w:val="0"/>
        <w:autoSpaceDN w:val="0"/>
        <w:bidi w:val="0"/>
        <w:adjustRightInd w:val="0"/>
        <w:snapToGrid/>
        <w:spacing w:line="312" w:lineRule="auto"/>
        <w:ind w:left="0" w:leftChars="0" w:right="0" w:rightChars="0"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pStyle w:val="4"/>
        <w:pageBreakBefore w:val="0"/>
        <w:widowControl w:val="0"/>
        <w:kinsoku/>
        <w:wordWrap/>
        <w:overflowPunct/>
        <w:topLinePunct w:val="0"/>
        <w:bidi w:val="0"/>
        <w:snapToGrid/>
        <w:spacing w:line="312" w:lineRule="auto"/>
        <w:ind w:left="0" w:leftChars="0" w:right="0" w:rightChars="0"/>
        <w:textAlignment w:val="auto"/>
        <w:rPr>
          <w:sz w:val="32"/>
          <w:szCs w:val="24"/>
        </w:rPr>
      </w:pPr>
      <w:r>
        <w:rPr>
          <w:sz w:val="32"/>
          <w:szCs w:val="24"/>
        </w:rPr>
        <w:t>第四部分名词解释</w:t>
      </w:r>
    </w:p>
    <w:p>
      <w:pPr>
        <w:pStyle w:val="4"/>
        <w:pageBreakBefore w:val="0"/>
        <w:widowControl w:val="0"/>
        <w:kinsoku/>
        <w:wordWrap/>
        <w:overflowPunct/>
        <w:topLinePunct w:val="0"/>
        <w:bidi w:val="0"/>
        <w:snapToGrid/>
        <w:spacing w:line="312" w:lineRule="auto"/>
        <w:ind w:left="0" w:leftChars="0" w:right="0" w:rightChars="0"/>
        <w:textAlignment w:val="auto"/>
        <w:rPr>
          <w:sz w:val="32"/>
          <w:szCs w:val="24"/>
        </w:rPr>
      </w:pPr>
      <w:r>
        <w:rPr>
          <w:sz w:val="32"/>
          <w:szCs w:val="24"/>
        </w:rPr>
        <w:t>第五部分附件</w:t>
      </w:r>
    </w:p>
    <w:p>
      <w:pPr>
        <w:pStyle w:val="4"/>
        <w:pageBreakBefore w:val="0"/>
        <w:widowControl w:val="0"/>
        <w:kinsoku/>
        <w:wordWrap/>
        <w:overflowPunct/>
        <w:topLinePunct w:val="0"/>
        <w:bidi w:val="0"/>
        <w:snapToGrid/>
        <w:spacing w:line="312" w:lineRule="auto"/>
        <w:ind w:left="0" w:leftChars="0" w:right="0" w:rightChars="0"/>
        <w:textAlignment w:val="auto"/>
      </w:pPr>
      <w:r>
        <w:br w:type="page"/>
      </w:r>
    </w:p>
    <w:p>
      <w:pPr>
        <w:pStyle w:val="11"/>
        <w:jc w:val="left"/>
        <w:outlineLvl w:val="0"/>
        <w:rPr>
          <w:sz w:val="44"/>
          <w:szCs w:val="44"/>
        </w:rPr>
      </w:pPr>
      <w:r>
        <w:rPr>
          <w:rFonts w:hint="eastAsia"/>
          <w:sz w:val="44"/>
          <w:szCs w:val="44"/>
        </w:rPr>
        <w:t>第一部分</w:t>
      </w:r>
      <w:r>
        <w:rPr>
          <w:sz w:val="44"/>
          <w:szCs w:val="44"/>
        </w:rPr>
        <w:t xml:space="preserve"> </w:t>
      </w:r>
      <w:r>
        <w:rPr>
          <w:rFonts w:hint="eastAsia"/>
          <w:sz w:val="44"/>
          <w:szCs w:val="44"/>
          <w:lang w:eastAsia="zh-CN"/>
        </w:rPr>
        <w:t>益阳市资阳区财政局</w:t>
      </w:r>
      <w:r>
        <w:rPr>
          <w:rFonts w:hint="eastAsia"/>
          <w:sz w:val="44"/>
          <w:szCs w:val="44"/>
        </w:rPr>
        <w:t>概况</w:t>
      </w:r>
    </w:p>
    <w:p>
      <w:pPr>
        <w:pStyle w:val="12"/>
        <w:numPr>
          <w:ilvl w:val="0"/>
          <w:numId w:val="1"/>
        </w:numPr>
        <w:ind w:firstLineChars="0"/>
        <w:jc w:val="left"/>
        <w:outlineLvl w:val="1"/>
        <w:rPr>
          <w:rFonts w:ascii="黑体" w:hAnsi="黑体" w:eastAsia="黑体"/>
          <w:sz w:val="32"/>
          <w:szCs w:val="32"/>
        </w:rPr>
      </w:pPr>
      <w:r>
        <w:rPr>
          <w:rFonts w:ascii="黑体" w:hAnsi="黑体" w:eastAsia="黑体"/>
          <w:sz w:val="32"/>
          <w:szCs w:val="32"/>
        </w:rPr>
        <w:t>部门职责</w:t>
      </w:r>
    </w:p>
    <w:p>
      <w:pPr>
        <w:jc w:val="left"/>
        <w:rPr>
          <w:rFonts w:hint="eastAsia" w:asciiTheme="minorEastAsia" w:hAnsiTheme="minorEastAsia"/>
          <w:sz w:val="32"/>
          <w:szCs w:val="32"/>
        </w:rPr>
      </w:pPr>
      <w:r>
        <w:rPr>
          <w:rFonts w:hint="eastAsia" w:asciiTheme="minorEastAsia" w:hAnsiTheme="minorEastAsia"/>
          <w:sz w:val="32"/>
          <w:szCs w:val="32"/>
        </w:rPr>
        <w:t>（一）组织贯彻执行国家财税方针政策，拟订和执行全区财政政策、改革方案，指导全区财政工作；分析预测宏观经济形势，参与制定各项宏观经济政策；提出运用财税政策实施宏观调控和综合平衡社会财力的建议；拟订财政管理体制。</w:t>
      </w:r>
    </w:p>
    <w:p>
      <w:pPr>
        <w:jc w:val="left"/>
        <w:rPr>
          <w:rFonts w:hint="eastAsia" w:asciiTheme="minorEastAsia" w:hAnsiTheme="minorEastAsia"/>
          <w:sz w:val="32"/>
          <w:szCs w:val="32"/>
        </w:rPr>
      </w:pPr>
      <w:r>
        <w:rPr>
          <w:rFonts w:hint="eastAsia" w:asciiTheme="minorEastAsia" w:hAnsiTheme="minorEastAsia"/>
          <w:sz w:val="32"/>
          <w:szCs w:val="32"/>
        </w:rPr>
        <w:t>（二）制定和执行财政、财务、会计管理、国有资产管理的规章制度。</w:t>
      </w:r>
    </w:p>
    <w:p>
      <w:pPr>
        <w:jc w:val="left"/>
        <w:rPr>
          <w:rFonts w:hint="eastAsia" w:asciiTheme="minorEastAsia" w:hAnsiTheme="minorEastAsia"/>
          <w:sz w:val="32"/>
          <w:szCs w:val="32"/>
        </w:rPr>
      </w:pPr>
      <w:r>
        <w:rPr>
          <w:rFonts w:hint="eastAsia" w:asciiTheme="minorEastAsia" w:hAnsiTheme="minorEastAsia"/>
          <w:sz w:val="32"/>
          <w:szCs w:val="32"/>
        </w:rPr>
        <w:t>（三）承担区本级各项财政收支管理的责任。负责编制年度区本级预决算草案并组织执行。代编全区财政收支预算，汇总全区财政总决算；受区人民政府委托，向区人民代表大会报告区本级、全区预算及其执行情况，向区人大常委会报告决算。组织制订区本级经费开支标准、定额，负责审核批复部门(单位)的年度预决算。</w:t>
      </w:r>
    </w:p>
    <w:p>
      <w:pPr>
        <w:jc w:val="left"/>
        <w:rPr>
          <w:rFonts w:hint="eastAsia" w:asciiTheme="minorEastAsia" w:hAnsiTheme="minorEastAsia"/>
          <w:sz w:val="32"/>
          <w:szCs w:val="32"/>
        </w:rPr>
      </w:pPr>
      <w:r>
        <w:rPr>
          <w:rFonts w:hint="eastAsia" w:asciiTheme="minorEastAsia" w:hAnsiTheme="minorEastAsia"/>
          <w:sz w:val="32"/>
          <w:szCs w:val="32"/>
        </w:rPr>
        <w:t>（四）负责政府非税收入管理，负责政府性基金管理，按规定管理行政事业性收费。管理财政票据。</w:t>
      </w:r>
    </w:p>
    <w:p>
      <w:pPr>
        <w:jc w:val="left"/>
        <w:rPr>
          <w:rFonts w:hint="eastAsia" w:asciiTheme="minorEastAsia" w:hAnsiTheme="minorEastAsia"/>
          <w:sz w:val="32"/>
          <w:szCs w:val="32"/>
        </w:rPr>
      </w:pPr>
      <w:r>
        <w:rPr>
          <w:rFonts w:hint="eastAsia" w:asciiTheme="minorEastAsia" w:hAnsiTheme="minorEastAsia"/>
          <w:sz w:val="32"/>
          <w:szCs w:val="32"/>
        </w:rPr>
        <w:t>（五）组织制定国库管理制度、国库集中收付制度，指导和监督区本级国库业务，按规定开展国库现金管理工作。负责制定政府采购制度并监督管理。</w:t>
      </w:r>
    </w:p>
    <w:p>
      <w:pPr>
        <w:jc w:val="left"/>
        <w:rPr>
          <w:rFonts w:hint="eastAsia" w:asciiTheme="minorEastAsia" w:hAnsiTheme="minorEastAsia"/>
          <w:sz w:val="32"/>
          <w:szCs w:val="32"/>
        </w:rPr>
      </w:pPr>
      <w:r>
        <w:rPr>
          <w:rFonts w:hint="eastAsia" w:asciiTheme="minorEastAsia" w:hAnsiTheme="minorEastAsia"/>
          <w:sz w:val="32"/>
          <w:szCs w:val="32"/>
        </w:rPr>
        <w:t>（六）贯彻执行国家税收法律、行政法规和税收调整政策，反馈政策执行情况，提出调整建议。按规定承担省厅、市局下达的地方关税管理调研的有关工作。</w:t>
      </w:r>
    </w:p>
    <w:p>
      <w:pPr>
        <w:jc w:val="left"/>
        <w:rPr>
          <w:rFonts w:hint="eastAsia" w:asciiTheme="minorEastAsia" w:hAnsiTheme="minorEastAsia"/>
          <w:sz w:val="32"/>
          <w:szCs w:val="32"/>
        </w:rPr>
      </w:pPr>
      <w:r>
        <w:rPr>
          <w:rFonts w:hint="eastAsia" w:asciiTheme="minorEastAsia" w:hAnsiTheme="minorEastAsia"/>
          <w:sz w:val="32"/>
          <w:szCs w:val="32"/>
        </w:rPr>
        <w:t>（七）负责制定全区行政事业单位国有资产管理规章制度，按规定管理行政事业单位国有资产，制定需要全区统一规定的开支标准和支出政策，负责财政预算内行政、事业单位和社会团体的非贸易外汇管理。</w:t>
      </w:r>
    </w:p>
    <w:p>
      <w:pPr>
        <w:jc w:val="left"/>
        <w:rPr>
          <w:rFonts w:hint="eastAsia" w:asciiTheme="minorEastAsia" w:hAnsiTheme="minorEastAsia"/>
          <w:sz w:val="32"/>
          <w:szCs w:val="32"/>
        </w:rPr>
      </w:pPr>
      <w:r>
        <w:rPr>
          <w:rFonts w:hint="eastAsia" w:asciiTheme="minorEastAsia" w:hAnsiTheme="minorEastAsia"/>
          <w:sz w:val="32"/>
          <w:szCs w:val="32"/>
        </w:rPr>
        <w:t>（八）负责审核和汇总编制全区国有资本经营预决算草案，制定国有资本经营预算的制度和办法，收取区本级企业国有资本收益，组织实施企业财务制度，按规定管理地方金融类企业国有资产，参与拟订企业国有资产管理相关制度，负责行政事业单位国有资产管理及资产评估工作。</w:t>
      </w:r>
    </w:p>
    <w:p>
      <w:pPr>
        <w:jc w:val="left"/>
        <w:rPr>
          <w:rFonts w:hint="eastAsia" w:asciiTheme="minorEastAsia" w:hAnsiTheme="minorEastAsia"/>
          <w:sz w:val="32"/>
          <w:szCs w:val="32"/>
        </w:rPr>
      </w:pPr>
      <w:r>
        <w:rPr>
          <w:rFonts w:hint="eastAsia" w:asciiTheme="minorEastAsia" w:hAnsiTheme="minorEastAsia"/>
          <w:sz w:val="32"/>
          <w:szCs w:val="32"/>
        </w:rPr>
        <w:t>（九）负责办理和监督区财政经济发展支出、区级政府性投资项目的财政拨款，参与拟订区建设投资的有关政策，组织实施基本建设财务制度，负责有关政策性补贴和专项储备资金财政管理工作。</w:t>
      </w:r>
    </w:p>
    <w:p>
      <w:pPr>
        <w:jc w:val="left"/>
        <w:rPr>
          <w:rFonts w:hint="eastAsia" w:asciiTheme="minorEastAsia" w:hAnsiTheme="minorEastAsia"/>
          <w:sz w:val="32"/>
          <w:szCs w:val="32"/>
        </w:rPr>
      </w:pPr>
      <w:r>
        <w:rPr>
          <w:rFonts w:hint="eastAsia" w:asciiTheme="minorEastAsia" w:hAnsiTheme="minorEastAsia"/>
          <w:sz w:val="32"/>
          <w:szCs w:val="32"/>
        </w:rPr>
        <w:t>（十）会同有关部门管理区财政社会保障和就业及医疗卫生、低保、优抚社救等支出，组织实施社会保障资金 ( 基金 ) 的财务管理制度，编制区社会保障预决算草案。</w:t>
      </w:r>
    </w:p>
    <w:p>
      <w:pPr>
        <w:jc w:val="left"/>
        <w:rPr>
          <w:rFonts w:hint="eastAsia" w:asciiTheme="minorEastAsia" w:hAnsiTheme="minorEastAsia"/>
          <w:sz w:val="32"/>
          <w:szCs w:val="32"/>
        </w:rPr>
      </w:pPr>
      <w:r>
        <w:rPr>
          <w:rFonts w:hint="eastAsia" w:asciiTheme="minorEastAsia" w:hAnsiTheme="minorEastAsia"/>
          <w:sz w:val="32"/>
          <w:szCs w:val="32"/>
        </w:rPr>
        <w:t>（十一）贯彻执行政府内外债务管理的政策、制度和办法，防范财政风险。负责统一管理区政府外债，制定基本管理制度。按规定管理外国政府和国际金融组织贷 ( 赠 ) 款。承担财税领域交流与合作的具体工作。</w:t>
      </w:r>
    </w:p>
    <w:p>
      <w:pPr>
        <w:jc w:val="left"/>
        <w:rPr>
          <w:rFonts w:hint="eastAsia" w:asciiTheme="minorEastAsia" w:hAnsiTheme="minorEastAsia"/>
          <w:sz w:val="32"/>
          <w:szCs w:val="32"/>
        </w:rPr>
      </w:pPr>
      <w:r>
        <w:rPr>
          <w:rFonts w:hint="eastAsia" w:asciiTheme="minorEastAsia" w:hAnsiTheme="minorEastAsia"/>
          <w:sz w:val="32"/>
          <w:szCs w:val="32"/>
        </w:rPr>
        <w:t>（十二）负责管理全区的会计工作，监督和规范会计行为，组织实施国家统一的会计制度，在全区组织实施会计行政法规规章，指导和管理社会审计。</w:t>
      </w:r>
    </w:p>
    <w:p>
      <w:pPr>
        <w:jc w:val="left"/>
        <w:rPr>
          <w:rFonts w:hint="eastAsia" w:asciiTheme="minorEastAsia" w:hAnsiTheme="minorEastAsia"/>
          <w:sz w:val="32"/>
          <w:szCs w:val="32"/>
        </w:rPr>
      </w:pPr>
      <w:r>
        <w:rPr>
          <w:rFonts w:hint="eastAsia" w:asciiTheme="minorEastAsia" w:hAnsiTheme="minorEastAsia"/>
          <w:sz w:val="32"/>
          <w:szCs w:val="32"/>
        </w:rPr>
        <w:t>（十三）监督检查财税法规、政策的执行情况，反映财政收支管理中的重大问题，提出加强财政管理的政策和建议。</w:t>
      </w:r>
    </w:p>
    <w:p>
      <w:pPr>
        <w:jc w:val="left"/>
        <w:rPr>
          <w:rFonts w:ascii="仿宋_GB2312" w:eastAsia="仿宋_GB2312" w:hAnsiTheme="minorEastAsia"/>
          <w:sz w:val="28"/>
          <w:szCs w:val="32"/>
        </w:rPr>
      </w:pPr>
      <w:r>
        <w:rPr>
          <w:rFonts w:hint="eastAsia" w:asciiTheme="minorEastAsia" w:hAnsiTheme="minorEastAsia"/>
          <w:sz w:val="32"/>
          <w:szCs w:val="32"/>
        </w:rPr>
        <w:t>（十四）承办区委、区人民政府交办的其他事项。</w:t>
      </w:r>
    </w:p>
    <w:p>
      <w:pPr>
        <w:widowControl/>
        <w:spacing w:line="600" w:lineRule="exact"/>
        <w:outlineLvl w:val="1"/>
        <w:rPr>
          <w:rFonts w:ascii="黑体" w:hAnsi="黑体" w:eastAsia="黑体"/>
          <w:bCs/>
          <w:kern w:val="0"/>
          <w:sz w:val="32"/>
          <w:szCs w:val="32"/>
        </w:rPr>
      </w:pPr>
      <w:r>
        <w:rPr>
          <w:rFonts w:hint="eastAsia" w:ascii="黑体" w:hAnsi="黑体" w:eastAsia="黑体"/>
          <w:bCs/>
          <w:kern w:val="0"/>
          <w:sz w:val="32"/>
          <w:szCs w:val="32"/>
        </w:rPr>
        <w:t>二、机构设置</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（一）内设机构设置。</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益阳市资阳区财政局机关共有17个股室及非独立核算二级机构4个，下设独立核算事业单位3个(其中参公单位2个，财政核拨事业单位1个)。</w:t>
      </w:r>
    </w:p>
    <w:p>
      <w:pPr>
        <w:widowControl/>
        <w:spacing w:line="600" w:lineRule="exact"/>
        <w:ind w:firstLine="640"/>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40"/>
        <w:rPr>
          <w:rFonts w:hint="eastAsia" w:asciiTheme="minorEastAsia" w:hAnsiTheme="minorEastAsia"/>
          <w:bCs/>
          <w:kern w:val="0"/>
          <w:sz w:val="32"/>
          <w:szCs w:val="32"/>
        </w:rPr>
      </w:pPr>
      <w:r>
        <w:rPr>
          <w:rFonts w:hint="eastAsia" w:asciiTheme="minorEastAsia" w:hAnsiTheme="minorEastAsia"/>
          <w:bCs/>
          <w:kern w:val="0"/>
          <w:sz w:val="32"/>
          <w:szCs w:val="32"/>
        </w:rPr>
        <w:t>从决算单位构成看，益阳市资阳区财政局单位部门决算仅包括益阳市资阳区财政局本级部门决算，不包括下设独立核算3个单位决算。</w:t>
      </w:r>
    </w:p>
    <w:p>
      <w:pPr>
        <w:widowControl/>
        <w:spacing w:line="600" w:lineRule="exact"/>
        <w:ind w:firstLine="640"/>
        <w:rPr>
          <w:rFonts w:hint="eastAsia" w:asciiTheme="minorEastAsia" w:hAnsiTheme="minorEastAsia"/>
          <w:bCs/>
          <w:kern w:val="0"/>
          <w:sz w:val="32"/>
          <w:szCs w:val="32"/>
        </w:rPr>
      </w:pPr>
    </w:p>
    <w:p>
      <w:pPr>
        <w:pStyle w:val="11"/>
        <w:numPr>
          <w:ilvl w:val="0"/>
          <w:numId w:val="2"/>
        </w:numPr>
        <w:jc w:val="left"/>
        <w:outlineLvl w:val="0"/>
        <w:rPr>
          <w:rFonts w:hint="eastAsia"/>
          <w:sz w:val="44"/>
          <w:szCs w:val="44"/>
          <w:lang w:eastAsia="zh-CN"/>
        </w:rPr>
      </w:pPr>
      <w:r>
        <w:rPr>
          <w:rFonts w:hint="eastAsia"/>
          <w:sz w:val="44"/>
          <w:szCs w:val="44"/>
        </w:rPr>
        <w:t>部门决算表</w:t>
      </w:r>
      <w:r>
        <w:rPr>
          <w:rFonts w:hint="eastAsia"/>
          <w:sz w:val="44"/>
          <w:szCs w:val="44"/>
          <w:lang w:eastAsia="zh-CN"/>
        </w:rPr>
        <w:t>（</w:t>
      </w:r>
      <w:r>
        <w:rPr>
          <w:rFonts w:hint="eastAsia"/>
          <w:sz w:val="44"/>
          <w:szCs w:val="44"/>
          <w:lang w:val="en-US" w:eastAsia="zh-CN"/>
        </w:rPr>
        <w:t>见附表</w:t>
      </w:r>
      <w:r>
        <w:rPr>
          <w:rFonts w:hint="eastAsia"/>
          <w:sz w:val="44"/>
          <w:szCs w:val="44"/>
          <w:lang w:eastAsia="zh-CN"/>
        </w:rPr>
        <w:t>）</w:t>
      </w:r>
    </w:p>
    <w:p>
      <w:pPr>
        <w:pStyle w:val="11"/>
        <w:numPr>
          <w:ilvl w:val="0"/>
          <w:numId w:val="0"/>
        </w:numPr>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（公开表格附后）</w:t>
      </w:r>
    </w:p>
    <w:p>
      <w:pPr>
        <w:pStyle w:val="11"/>
        <w:numPr>
          <w:ilvl w:val="0"/>
          <w:numId w:val="0"/>
        </w:numPr>
        <w:jc w:val="left"/>
        <w:rPr>
          <w:rFonts w:hint="eastAsia" w:asciiTheme="minorEastAsia" w:hAnsiTheme="minorEastAsia" w:eastAsiaTheme="minorEastAsia"/>
          <w:sz w:val="32"/>
          <w:szCs w:val="32"/>
          <w:lang w:eastAsia="zh-CN"/>
        </w:rPr>
      </w:pPr>
    </w:p>
    <w:p>
      <w:pPr>
        <w:pStyle w:val="11"/>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1"/>
        <w:outlineLvl w:val="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rPr>
        <w:t>2019 年度收、支总计</w:t>
      </w:r>
      <w:r>
        <w:rPr>
          <w:rFonts w:hint="eastAsia" w:asciiTheme="minorEastAsia" w:hAnsiTheme="minorEastAsia" w:eastAsiaTheme="minorEastAsia"/>
          <w:sz w:val="32"/>
          <w:szCs w:val="32"/>
          <w:lang w:val="en-US" w:eastAsia="zh-CN"/>
        </w:rPr>
        <w:t>1684.07</w:t>
      </w:r>
      <w:r>
        <w:rPr>
          <w:rFonts w:hint="eastAsia" w:asciiTheme="minorEastAsia" w:hAnsiTheme="minorEastAsia" w:eastAsiaTheme="minorEastAsia"/>
          <w:sz w:val="32"/>
          <w:szCs w:val="32"/>
        </w:rPr>
        <w:t>万元。与2018年</w:t>
      </w:r>
      <w:r>
        <w:rPr>
          <w:rFonts w:hint="eastAsia" w:asciiTheme="minorEastAsia" w:hAnsiTheme="minorEastAsia" w:eastAsiaTheme="minorEastAsia"/>
          <w:sz w:val="32"/>
          <w:szCs w:val="32"/>
          <w:lang w:val="en-US" w:eastAsia="zh-CN"/>
        </w:rPr>
        <w:t>1412.68万元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271.39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19.21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highlight w:val="none"/>
        </w:rPr>
        <w:t>增加投资评审业务费，更换陈旧办公设备、机构改革后农开办人员回归局机关</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退休人员死亡抚恤等。</w:t>
      </w:r>
    </w:p>
    <w:p>
      <w:pPr>
        <w:pStyle w:val="11"/>
        <w:outlineLvl w:val="1"/>
        <w:rPr>
          <w:rFonts w:hAnsi="黑体"/>
          <w:b/>
          <w:sz w:val="32"/>
          <w:szCs w:val="32"/>
        </w:rPr>
      </w:pPr>
      <w:r>
        <w:rPr>
          <w:rFonts w:hint="eastAsia" w:hAnsi="黑体"/>
          <w:b/>
          <w:sz w:val="32"/>
          <w:szCs w:val="32"/>
        </w:rPr>
        <w:t>二、收入决算情况说明</w:t>
      </w:r>
    </w:p>
    <w:p>
      <w:pPr>
        <w:pStyle w:val="11"/>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本年收入合计1256.15万元，其中：财政拨款收入1245.56万元，占99.16%；上级补助收入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%；其他收入10.59万元，占0.84%。</w:t>
      </w:r>
    </w:p>
    <w:p>
      <w:pPr>
        <w:pStyle w:val="11"/>
        <w:outlineLvl w:val="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本年支出合计1254.75万元，其中：基本支出1254.37万元，占99.97%；项目支出0.38万元，占0.03%；上缴上级支出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outlineLvl w:val="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sz w:val="32"/>
          <w:szCs w:val="32"/>
          <w:highlight w:val="yellow"/>
        </w:rPr>
      </w:pPr>
      <w:r>
        <w:rPr>
          <w:rFonts w:hint="eastAsia" w:asciiTheme="minorEastAsia" w:hAnsiTheme="minorEastAsia" w:eastAsiaTheme="minorEastAsia"/>
          <w:sz w:val="32"/>
          <w:szCs w:val="32"/>
        </w:rPr>
        <w:t>2019年度财政拨款收、支总</w:t>
      </w:r>
      <w:r>
        <w:rPr>
          <w:rFonts w:hint="eastAsia" w:asciiTheme="minorEastAsia" w:hAnsiTheme="minorEastAsia" w:eastAsiaTheme="minorEastAsia"/>
          <w:sz w:val="32"/>
          <w:szCs w:val="32"/>
          <w:lang w:eastAsia="zh-CN"/>
        </w:rPr>
        <w:t>计</w:t>
      </w:r>
      <w:bookmarkStart w:id="0" w:name="_GoBack"/>
      <w:bookmarkEnd w:id="0"/>
      <w:r>
        <w:rPr>
          <w:rFonts w:hint="eastAsia" w:asciiTheme="minorEastAsia" w:hAnsiTheme="minorEastAsia" w:eastAsiaTheme="minorEastAsia"/>
          <w:sz w:val="32"/>
          <w:szCs w:val="32"/>
          <w:lang w:val="en-US" w:eastAsia="zh-CN"/>
        </w:rPr>
        <w:t>1669.7</w:t>
      </w:r>
      <w:r>
        <w:rPr>
          <w:rFonts w:hint="eastAsia" w:asciiTheme="minorEastAsia" w:hAnsiTheme="minorEastAsia" w:eastAsiaTheme="minorEastAsia"/>
          <w:sz w:val="32"/>
          <w:szCs w:val="32"/>
        </w:rPr>
        <w:t>万元，与2018年</w:t>
      </w:r>
      <w:r>
        <w:rPr>
          <w:rFonts w:hint="eastAsia" w:asciiTheme="minorEastAsia" w:hAnsiTheme="minorEastAsia" w:eastAsiaTheme="minorEastAsia"/>
          <w:sz w:val="32"/>
          <w:szCs w:val="32"/>
          <w:lang w:val="en-US" w:eastAsia="zh-CN"/>
        </w:rPr>
        <w:t>1394.96万元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274.74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19.7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highlight w:val="none"/>
        </w:rPr>
        <w:t>增加投资评审业务费，更换陈旧办公设备、机构改革后农开办人员回归局机关</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退休人员死亡抚恤等。</w:t>
      </w:r>
    </w:p>
    <w:p>
      <w:pPr>
        <w:pStyle w:val="11"/>
        <w:numPr>
          <w:ilvl w:val="0"/>
          <w:numId w:val="3"/>
        </w:numPr>
        <w:outlineLvl w:val="1"/>
        <w:rPr>
          <w:rFonts w:hint="eastAsia" w:hAnsi="黑体"/>
          <w:b/>
          <w:sz w:val="32"/>
          <w:szCs w:val="32"/>
        </w:rPr>
      </w:pPr>
      <w:r>
        <w:rPr>
          <w:rFonts w:hint="eastAsia" w:hAnsi="黑体"/>
          <w:b/>
          <w:sz w:val="32"/>
          <w:szCs w:val="32"/>
        </w:rPr>
        <w:t>一般公共预算财政拨款支出决算情况说明</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outlineLvl w:val="2"/>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2019年度财政拨款支出1243.72万元，占本年支出合计的99.</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%，与2018年1040.18万元相比，财政拨款支出增加203.54万元，增长19.57%，主要是因为增加投资评审业务费，更换陈旧办公设备、退休人员死亡抚恤等。</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outlineLvl w:val="2"/>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1243.72万元，主要用于以下方面：一般公共服务支出1103.69万元，占88.74%；社会保障和就业支出62.91万元占5.06%；卫生健康支出43.58万元，占3.5%；节能环保支出1万元，占0.08%；农林水支出4万元，占0.32%；住房保障支出28.55万元，占2.3%.</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754.72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1243.72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164.79</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2010601 </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342.01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382.73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111.91</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机构改革后农开办人员</w:t>
      </w:r>
      <w:r>
        <w:rPr>
          <w:rFonts w:hint="eastAsia" w:asciiTheme="minorEastAsia" w:hAnsiTheme="minorEastAsia" w:eastAsiaTheme="minorEastAsia"/>
          <w:sz w:val="32"/>
          <w:szCs w:val="32"/>
          <w:lang w:val="en-US" w:eastAsia="zh-CN"/>
        </w:rPr>
        <w:t>回归局机关，人员经费增加。</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2010602 </w:t>
      </w:r>
      <w:r>
        <w:rPr>
          <w:rFonts w:hint="eastAsia" w:asciiTheme="minorEastAsia" w:hAnsiTheme="minorEastAsia" w:eastAsiaTheme="minorEastAsia"/>
          <w:sz w:val="32"/>
          <w:szCs w:val="32"/>
        </w:rPr>
        <w:t>一般行政管理事务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0.72</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项目未完成、未结账。</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2010604 </w:t>
      </w:r>
      <w:r>
        <w:rPr>
          <w:rFonts w:hint="eastAsia" w:asciiTheme="minorEastAsia" w:hAnsiTheme="minorEastAsia" w:eastAsiaTheme="minorEastAsia"/>
          <w:sz w:val="32"/>
          <w:szCs w:val="32"/>
          <w:lang w:eastAsia="zh-CN"/>
        </w:rPr>
        <w:t>预算改革业务，</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主要用于部门预算方面的支出</w:t>
      </w:r>
      <w:r>
        <w:rPr>
          <w:rFonts w:hint="eastAsia" w:asciiTheme="minorEastAsia" w:hAnsiTheme="minorEastAsia" w:eastAsiaTheme="minorEastAsia"/>
          <w:sz w:val="32"/>
          <w:szCs w:val="32"/>
          <w:lang w:eastAsia="zh-CN"/>
        </w:rPr>
        <w:t>。</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2010605 </w:t>
      </w:r>
      <w:r>
        <w:rPr>
          <w:rFonts w:hint="eastAsia" w:asciiTheme="minorEastAsia" w:hAnsiTheme="minorEastAsia" w:eastAsiaTheme="minorEastAsia"/>
          <w:sz w:val="32"/>
          <w:szCs w:val="32"/>
          <w:lang w:eastAsia="zh-CN"/>
        </w:rPr>
        <w:t>财政国库业务，</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上年结余。</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2010606 </w:t>
      </w:r>
      <w:r>
        <w:rPr>
          <w:rFonts w:hint="eastAsia" w:asciiTheme="minorEastAsia" w:hAnsiTheme="minorEastAsia" w:eastAsiaTheme="minorEastAsia"/>
          <w:sz w:val="32"/>
          <w:szCs w:val="32"/>
          <w:lang w:eastAsia="zh-CN"/>
        </w:rPr>
        <w:t>财政监察，</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主要用于</w:t>
      </w:r>
      <w:r>
        <w:rPr>
          <w:rFonts w:hint="eastAsia" w:asciiTheme="minorEastAsia" w:hAnsiTheme="minorEastAsia" w:eastAsiaTheme="minorEastAsia"/>
          <w:sz w:val="32"/>
          <w:szCs w:val="32"/>
          <w:lang w:eastAsia="zh-CN"/>
        </w:rPr>
        <w:t>财政监察</w:t>
      </w:r>
      <w:r>
        <w:rPr>
          <w:rFonts w:hint="eastAsia" w:asciiTheme="minorEastAsia" w:hAnsiTheme="minorEastAsia" w:eastAsiaTheme="minorEastAsia"/>
          <w:sz w:val="32"/>
          <w:szCs w:val="32"/>
        </w:rPr>
        <w:t>方面的支出</w:t>
      </w:r>
      <w:r>
        <w:rPr>
          <w:rFonts w:hint="eastAsia" w:asciiTheme="minorEastAsia" w:hAnsiTheme="minorEastAsia" w:eastAsiaTheme="minorEastAsia"/>
          <w:sz w:val="32"/>
          <w:szCs w:val="32"/>
          <w:lang w:eastAsia="zh-CN"/>
        </w:rPr>
        <w:t>。</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2010607 </w:t>
      </w:r>
      <w:r>
        <w:rPr>
          <w:rFonts w:hint="eastAsia" w:asciiTheme="minorEastAsia" w:hAnsiTheme="minorEastAsia" w:eastAsiaTheme="minorEastAsia"/>
          <w:sz w:val="32"/>
          <w:szCs w:val="32"/>
          <w:lang w:eastAsia="zh-CN"/>
        </w:rPr>
        <w:t>信息化建设，</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77.05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90.65</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部分项目当年未完成、未结账。</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2010608 </w:t>
      </w:r>
      <w:r>
        <w:rPr>
          <w:rFonts w:hint="eastAsia" w:asciiTheme="minorEastAsia" w:hAnsiTheme="minorEastAsia" w:eastAsiaTheme="minorEastAsia"/>
          <w:sz w:val="32"/>
          <w:szCs w:val="32"/>
        </w:rPr>
        <w:t>财政委托业务支出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107.52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89.6</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部分项目当年未完成、未结账。</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2010699 </w:t>
      </w:r>
      <w:r>
        <w:rPr>
          <w:rFonts w:hint="eastAsia" w:asciiTheme="minorEastAsia" w:hAnsiTheme="minorEastAsia" w:eastAsiaTheme="minorEastAsia"/>
          <w:sz w:val="32"/>
          <w:szCs w:val="32"/>
        </w:rPr>
        <w:t>其他财政事务支出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505.51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7221.57</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年初预算数的主要原因是年中追加经费</w:t>
      </w:r>
      <w:r>
        <w:rPr>
          <w:rFonts w:hint="eastAsia" w:asciiTheme="minorEastAsia" w:hAnsiTheme="minorEastAsia" w:eastAsiaTheme="minorEastAsia"/>
          <w:sz w:val="32"/>
          <w:szCs w:val="32"/>
          <w:lang w:eastAsia="zh-CN"/>
        </w:rPr>
        <w:t>。</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2080505 </w:t>
      </w:r>
      <w:r>
        <w:rPr>
          <w:rFonts w:hint="eastAsia" w:asciiTheme="minorEastAsia" w:hAnsiTheme="minorEastAsia" w:eastAsiaTheme="minorEastAsia"/>
          <w:sz w:val="32"/>
          <w:szCs w:val="32"/>
        </w:rPr>
        <w:t>机关事业单位基本养老保险缴费支出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47.58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47.58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主要用于机关基本养老保险缴费</w:t>
      </w:r>
      <w:r>
        <w:rPr>
          <w:rFonts w:hint="eastAsia" w:asciiTheme="minorEastAsia" w:hAnsiTheme="minorEastAsia" w:eastAsiaTheme="minorEastAsia"/>
          <w:sz w:val="32"/>
          <w:szCs w:val="32"/>
          <w:lang w:eastAsia="zh-CN"/>
        </w:rPr>
        <w:t>。</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2080801 </w:t>
      </w:r>
      <w:r>
        <w:rPr>
          <w:rFonts w:hint="eastAsia" w:asciiTheme="minorEastAsia" w:hAnsiTheme="minorEastAsia" w:eastAsiaTheme="minorEastAsia"/>
          <w:sz w:val="32"/>
          <w:szCs w:val="32"/>
          <w:lang w:eastAsia="zh-CN"/>
        </w:rPr>
        <w:t>死亡抚恤，</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15.33</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年初预算数的主要原因是年中追加</w:t>
      </w:r>
      <w:r>
        <w:rPr>
          <w:rFonts w:hint="eastAsia" w:asciiTheme="minorEastAsia" w:hAnsiTheme="minorEastAsia" w:eastAsiaTheme="minorEastAsia"/>
          <w:sz w:val="32"/>
          <w:szCs w:val="32"/>
          <w:lang w:val="en-US" w:eastAsia="zh-CN"/>
        </w:rPr>
        <w:t>退休人员死亡抚恤</w:t>
      </w:r>
      <w:r>
        <w:rPr>
          <w:rFonts w:hint="eastAsia" w:asciiTheme="minorEastAsia" w:hAnsiTheme="minorEastAsia" w:eastAsiaTheme="minorEastAsia"/>
          <w:sz w:val="32"/>
          <w:szCs w:val="32"/>
        </w:rPr>
        <w:t>经费</w:t>
      </w:r>
      <w:r>
        <w:rPr>
          <w:rFonts w:hint="eastAsia" w:asciiTheme="minorEastAsia" w:hAnsiTheme="minorEastAsia" w:eastAsiaTheme="minorEastAsia"/>
          <w:sz w:val="32"/>
          <w:szCs w:val="32"/>
          <w:lang w:eastAsia="zh-CN"/>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2101101 </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43.58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43.58</w:t>
      </w:r>
      <w:r>
        <w:rPr>
          <w:rFonts w:hint="eastAsia" w:asciiTheme="minorEastAsia" w:hAnsiTheme="minorEastAsia" w:eastAsiaTheme="minorEastAsia"/>
          <w:sz w:val="32"/>
          <w:szCs w:val="32"/>
        </w:rPr>
        <w:t>万元，完成年初预算的100%，决算数与年初预算数持平，主要用于机关</w:t>
      </w:r>
      <w:r>
        <w:rPr>
          <w:rFonts w:hint="eastAsia" w:asciiTheme="minorEastAsia" w:hAnsiTheme="minorEastAsia" w:eastAsiaTheme="minorEastAsia"/>
          <w:sz w:val="32"/>
          <w:szCs w:val="32"/>
          <w:lang w:eastAsia="zh-CN"/>
        </w:rPr>
        <w:t>基本医疗</w:t>
      </w:r>
      <w:r>
        <w:rPr>
          <w:rFonts w:hint="eastAsia" w:asciiTheme="minorEastAsia" w:hAnsiTheme="minorEastAsia" w:eastAsiaTheme="minorEastAsia"/>
          <w:sz w:val="32"/>
          <w:szCs w:val="32"/>
        </w:rPr>
        <w:t>保险缴费。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2110402 农村环境保护，</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年初预算数的主要原因是年中追加</w:t>
      </w:r>
      <w:r>
        <w:rPr>
          <w:rFonts w:hint="eastAsia" w:asciiTheme="minorEastAsia" w:hAnsiTheme="minorEastAsia" w:eastAsiaTheme="minorEastAsia"/>
          <w:sz w:val="32"/>
          <w:szCs w:val="32"/>
          <w:lang w:val="en-US" w:eastAsia="zh-CN"/>
        </w:rPr>
        <w:t>农村环境保护</w:t>
      </w:r>
      <w:r>
        <w:rPr>
          <w:rFonts w:hint="eastAsia" w:asciiTheme="minorEastAsia" w:hAnsiTheme="minorEastAsia" w:eastAsiaTheme="minorEastAsia"/>
          <w:sz w:val="32"/>
          <w:szCs w:val="32"/>
        </w:rPr>
        <w:t>经费</w:t>
      </w:r>
      <w:r>
        <w:rPr>
          <w:rFonts w:hint="eastAsia" w:asciiTheme="minorEastAsia" w:hAnsiTheme="minorEastAsia" w:eastAsiaTheme="minorEastAsia"/>
          <w:sz w:val="32"/>
          <w:szCs w:val="32"/>
          <w:lang w:eastAsia="zh-CN"/>
        </w:rPr>
        <w:t>。</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2130701 对村级一事一议的补助，</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年初预算数的主要原因是年中追加</w:t>
      </w:r>
      <w:r>
        <w:rPr>
          <w:rFonts w:hint="eastAsia" w:asciiTheme="minorEastAsia" w:hAnsiTheme="minorEastAsia" w:eastAsiaTheme="minorEastAsia"/>
          <w:sz w:val="32"/>
          <w:szCs w:val="32"/>
          <w:lang w:val="en-US" w:eastAsia="zh-CN"/>
        </w:rPr>
        <w:t>对村级一事一议的补助</w:t>
      </w:r>
      <w:r>
        <w:rPr>
          <w:rFonts w:hint="eastAsia" w:asciiTheme="minorEastAsia" w:hAnsiTheme="minorEastAsia" w:eastAsiaTheme="minorEastAsia"/>
          <w:sz w:val="32"/>
          <w:szCs w:val="32"/>
        </w:rPr>
        <w:t>经费</w:t>
      </w:r>
      <w:r>
        <w:rPr>
          <w:rFonts w:hint="eastAsia" w:asciiTheme="minorEastAsia" w:hAnsiTheme="minorEastAsia" w:eastAsiaTheme="minorEastAsia"/>
          <w:sz w:val="32"/>
          <w:szCs w:val="32"/>
          <w:lang w:eastAsia="zh-CN"/>
        </w:rPr>
        <w:t>。</w:t>
      </w:r>
    </w:p>
    <w:p>
      <w:pPr>
        <w:pStyle w:val="11"/>
        <w:ind w:firstLine="800" w:firstLineChars="25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lang w:val="en-US" w:eastAsia="zh-CN"/>
        </w:rPr>
        <w:t>2210201 住房公积金，年初预算为28.55万元，支出决算为28.55万元，完成年初预算的100%，决算数与年初预算数持平，主要用于机单位配缴住房公积金。</w:t>
      </w:r>
    </w:p>
    <w:p>
      <w:pPr>
        <w:pStyle w:val="11"/>
        <w:outlineLvl w:val="1"/>
        <w:rPr>
          <w:rFonts w:hAnsi="黑体"/>
          <w:b/>
          <w:sz w:val="32"/>
          <w:szCs w:val="32"/>
        </w:rPr>
      </w:pPr>
      <w:r>
        <w:rPr>
          <w:rFonts w:hint="eastAsia" w:hAnsi="黑体"/>
          <w:b/>
          <w:sz w:val="32"/>
          <w:szCs w:val="32"/>
        </w:rPr>
        <w:t>六、一般公共预算财政拨款基本支出决算情况说明</w:t>
      </w:r>
    </w:p>
    <w:p>
      <w:pPr>
        <w:pStyle w:val="11"/>
        <w:ind w:firstLine="640" w:firstLineChars="200"/>
        <w:outlineLvl w:val="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1243.35万元，其中：人员经费643.48万元，占基本支出的51.75%,主要包括基本工资、津贴补贴、奖金、伙食补助费、社会保障缴费、住房公积金及其他工资福利支出；公用经费599.87万元，占基本支出的48.25%，主要包括办公费、印刷费、咨询费、水电费、邮电费、差旅费、维修（护）费、会议费、培训费、公务接待费、公务用车运行维护费、办公设备购置等。</w:t>
      </w:r>
    </w:p>
    <w:p>
      <w:pPr>
        <w:pStyle w:val="11"/>
        <w:outlineLvl w:val="1"/>
        <w:rPr>
          <w:rFonts w:hAnsi="黑体"/>
          <w:b/>
          <w:sz w:val="32"/>
          <w:szCs w:val="32"/>
        </w:rPr>
      </w:pPr>
      <w:r>
        <w:rPr>
          <w:rFonts w:hint="eastAsia" w:hAnsi="黑体"/>
          <w:b/>
          <w:sz w:val="32"/>
          <w:szCs w:val="32"/>
        </w:rPr>
        <w:t>七、一般公共预算财政拨款三公经费支出决算情况说明</w:t>
      </w:r>
    </w:p>
    <w:p>
      <w:pPr>
        <w:pStyle w:val="11"/>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其他收入安排</w:t>
      </w:r>
      <w:r>
        <w:rPr>
          <w:rFonts w:hint="eastAsia" w:asciiTheme="minorEastAsia" w:hAnsiTheme="minorEastAsia" w:eastAsiaTheme="minorEastAsia"/>
          <w:sz w:val="32"/>
          <w:szCs w:val="32"/>
          <w:lang w:val="en-US" w:eastAsia="zh-CN"/>
        </w:rPr>
        <w:t>6.4万元，财政拨款</w:t>
      </w:r>
      <w:r>
        <w:rPr>
          <w:rFonts w:hint="eastAsia" w:asciiTheme="minorEastAsia" w:hAnsiTheme="minorEastAsia" w:eastAsiaTheme="minorEastAsia"/>
          <w:sz w:val="32"/>
          <w:szCs w:val="32"/>
        </w:rPr>
        <w:t>支出决算为7.22万元，完成预算的</w:t>
      </w:r>
      <w:r>
        <w:rPr>
          <w:rFonts w:hint="eastAsia" w:asciiTheme="minorEastAsia" w:hAnsiTheme="minorEastAsia" w:eastAsiaTheme="minorEastAsia"/>
          <w:sz w:val="32"/>
          <w:szCs w:val="32"/>
          <w:lang w:val="en-US" w:eastAsia="zh-CN"/>
        </w:rPr>
        <w:t>206.29</w:t>
      </w:r>
      <w:r>
        <w:rPr>
          <w:rFonts w:hint="eastAsia" w:asciiTheme="minorEastAsia" w:hAnsiTheme="minorEastAsia" w:eastAsiaTheme="minorEastAsia"/>
          <w:sz w:val="32"/>
          <w:szCs w:val="32"/>
        </w:rPr>
        <w:t>%，其中：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与上年相比持平</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全部由其他收入中安排，</w:t>
      </w:r>
      <w:r>
        <w:rPr>
          <w:rFonts w:hint="eastAsia" w:asciiTheme="minorEastAsia" w:hAnsiTheme="minorEastAsia" w:eastAsiaTheme="minorEastAsia"/>
          <w:sz w:val="32"/>
          <w:szCs w:val="32"/>
        </w:rPr>
        <w:t>支出决算为2.5万元，</w:t>
      </w:r>
      <w:r>
        <w:rPr>
          <w:rFonts w:hint="eastAsia" w:asciiTheme="minorEastAsia" w:hAnsiTheme="minorEastAsia" w:eastAsiaTheme="minorEastAsia"/>
          <w:sz w:val="32"/>
          <w:szCs w:val="32"/>
          <w:lang w:eastAsia="zh-CN"/>
        </w:rPr>
        <w:t>增加预算的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，决算数小于年初预算数的主要原因是严格控制公务接待数量、规模、接待标准等，与上年相比减少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万元，与上年2.5万元相比持平。</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公务用车购置费及运行维护费支出预算为3.5万元，支出决算为4.72万元，完成预算的134.86%，决算数大于年初预算数的主要原因是年初预算缩减，与上年4.</w:t>
      </w:r>
      <w:r>
        <w:rPr>
          <w:rFonts w:hint="eastAsia" w:asciiTheme="minorEastAsia" w:hAnsiTheme="minorEastAsia" w:eastAsiaTheme="minorEastAsia"/>
          <w:sz w:val="32"/>
          <w:szCs w:val="32"/>
          <w:lang w:val="en-US" w:eastAsia="zh-CN"/>
        </w:rPr>
        <w:t>74</w:t>
      </w:r>
      <w:r>
        <w:rPr>
          <w:rFonts w:hint="eastAsia" w:asciiTheme="minorEastAsia" w:hAnsiTheme="minorEastAsia" w:eastAsiaTheme="minorEastAsia"/>
          <w:sz w:val="32"/>
          <w:szCs w:val="32"/>
        </w:rPr>
        <w:t>万元相比减少</w:t>
      </w:r>
      <w:r>
        <w:rPr>
          <w:rFonts w:hint="eastAsia" w:asciiTheme="minorEastAsia" w:hAnsiTheme="minorEastAsia" w:eastAsiaTheme="minorEastAsia"/>
          <w:sz w:val="32"/>
          <w:szCs w:val="32"/>
          <w:lang w:val="en-US" w:eastAsia="zh-CN"/>
        </w:rPr>
        <w:t>0.02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0.42</w:t>
      </w:r>
      <w:r>
        <w:rPr>
          <w:rFonts w:hint="eastAsia" w:asciiTheme="minorEastAsia" w:hAnsiTheme="minorEastAsia" w:eastAsiaTheme="minorEastAsia"/>
          <w:sz w:val="32"/>
          <w:szCs w:val="32"/>
        </w:rPr>
        <w:t>%,减少的主要原因是加强经费管理，严格控制经费。</w:t>
      </w:r>
    </w:p>
    <w:p>
      <w:pPr>
        <w:pStyle w:val="11"/>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2019年度“三公”经费财政拨款支出决算中，公务接待费支出决算2.5万元，占34.63%,因公出国（境）费支出决算无，占0%,公务用车购置费及运行维护费支出决算4.72万元，占65.37%。其中：</w:t>
      </w:r>
    </w:p>
    <w:p>
      <w:pPr>
        <w:pStyle w:val="11"/>
        <w:numPr>
          <w:ilvl w:val="0"/>
          <w:numId w:val="0"/>
        </w:numPr>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1、</w:t>
      </w: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2、公务接待费支出决算为2.5万元，全年共接待来访团组50个、来宾610人次，主要是一般公务、调研等发生的接待支出。</w:t>
      </w:r>
    </w:p>
    <w:p>
      <w:pPr>
        <w:ind w:firstLine="800" w:firstLineChars="250"/>
        <w:rPr>
          <w:rFonts w:hint="eastAsia"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4.72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万元，单位本级更新公务用车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公务用车运行维护费4.72万元，主要是公车的日常运行及维护支出，截止2019年12月31日，我单位开支财政拨款的公务用车保有量为1辆。</w:t>
      </w:r>
    </w:p>
    <w:p>
      <w:pPr>
        <w:pStyle w:val="11"/>
        <w:outlineLvl w:val="1"/>
        <w:rPr>
          <w:rFonts w:hAnsi="黑体"/>
          <w:b/>
          <w:sz w:val="32"/>
          <w:szCs w:val="32"/>
        </w:rPr>
      </w:pPr>
      <w:r>
        <w:rPr>
          <w:rFonts w:hint="eastAsia" w:hAnsi="黑体"/>
          <w:b/>
          <w:sz w:val="32"/>
          <w:szCs w:val="32"/>
        </w:rPr>
        <w:t>八、政府性基金预算收入支出决算情况</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cstheme="minorBidi"/>
          <w:kern w:val="2"/>
          <w:sz w:val="32"/>
          <w:szCs w:val="32"/>
          <w:lang w:val="en-US" w:eastAsia="zh-CN" w:bidi="ar-SA"/>
        </w:rPr>
        <w:t>本单位无政府性基金收支。</w:t>
      </w:r>
    </w:p>
    <w:p>
      <w:pPr>
        <w:pStyle w:val="11"/>
        <w:outlineLvl w:val="1"/>
        <w:rPr>
          <w:rFonts w:hAnsi="黑体"/>
          <w:b/>
          <w:sz w:val="32"/>
          <w:szCs w:val="32"/>
        </w:rPr>
      </w:pPr>
      <w:r>
        <w:rPr>
          <w:rFonts w:hint="eastAsia" w:hAnsi="黑体"/>
          <w:b/>
          <w:sz w:val="32"/>
          <w:szCs w:val="32"/>
        </w:rPr>
        <w:t>九、关于2019年度预算绩效情况说明</w:t>
      </w:r>
    </w:p>
    <w:p>
      <w:pPr>
        <w:pStyle w:val="11"/>
        <w:outlineLvl w:val="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2019年度本部门按照有关政策文件要求开展预算绩效管理工作，一是加强绩效目标管理。在编制2019年部门预算时，本部门将所有预算资金纳入绩效目标管理，实现了绩效目标与部门预算同步编制、同步申报。二是做好绩效自评。对2018年部门整体支出开展了绩效自评，做好了投资评审业务、信息化建设、非税票据管理等重点项目绩效管理工作，促进资金合理保障范围，优化支出结构，提高管理水平。自评结果在本部门网站进行了公开。</w:t>
      </w:r>
    </w:p>
    <w:p>
      <w:pPr>
        <w:pStyle w:val="11"/>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年度机关运行经费支出599.87万元，比年初预算数</w:t>
      </w:r>
      <w:r>
        <w:rPr>
          <w:rFonts w:hint="eastAsia" w:cs="黑体" w:asciiTheme="minorEastAsia" w:hAnsiTheme="minorEastAsia"/>
          <w:color w:val="000000"/>
          <w:kern w:val="0"/>
          <w:sz w:val="32"/>
          <w:szCs w:val="32"/>
          <w:lang w:val="en-US" w:eastAsia="zh-CN"/>
        </w:rPr>
        <w:t>110.64</w:t>
      </w:r>
      <w:r>
        <w:rPr>
          <w:rFonts w:hint="eastAsia" w:cs="黑体" w:asciiTheme="minorEastAsia" w:hAnsiTheme="minorEastAsia"/>
          <w:color w:val="000000"/>
          <w:kern w:val="0"/>
          <w:sz w:val="32"/>
          <w:szCs w:val="32"/>
        </w:rPr>
        <w:t>万元增加</w:t>
      </w:r>
      <w:r>
        <w:rPr>
          <w:rFonts w:hint="eastAsia" w:cs="黑体" w:asciiTheme="minorEastAsia" w:hAnsiTheme="minorEastAsia"/>
          <w:color w:val="000000"/>
          <w:kern w:val="0"/>
          <w:sz w:val="32"/>
          <w:szCs w:val="32"/>
          <w:lang w:val="en-US" w:eastAsia="zh-CN"/>
        </w:rPr>
        <w:t>489.23</w:t>
      </w:r>
      <w:r>
        <w:rPr>
          <w:rFonts w:hint="eastAsia" w:cs="黑体" w:asciiTheme="minorEastAsia" w:hAnsiTheme="minorEastAsia"/>
          <w:color w:val="000000"/>
          <w:kern w:val="0"/>
          <w:sz w:val="32"/>
          <w:szCs w:val="32"/>
        </w:rPr>
        <w:t>万元，增长</w:t>
      </w:r>
      <w:r>
        <w:rPr>
          <w:rFonts w:hint="eastAsia" w:cs="黑体" w:asciiTheme="minorEastAsia" w:hAnsiTheme="minorEastAsia"/>
          <w:color w:val="000000"/>
          <w:kern w:val="0"/>
          <w:sz w:val="32"/>
          <w:szCs w:val="32"/>
          <w:lang w:val="en-US" w:eastAsia="zh-CN"/>
        </w:rPr>
        <w:t>442.18</w:t>
      </w:r>
      <w:r>
        <w:rPr>
          <w:rFonts w:hint="eastAsia" w:cs="黑体" w:asciiTheme="minorEastAsia" w:hAnsiTheme="minorEastAsia"/>
          <w:color w:val="000000"/>
          <w:kern w:val="0"/>
          <w:sz w:val="32"/>
          <w:szCs w:val="32"/>
        </w:rPr>
        <w:t>%。主要原因是增加投资评审业务费</w:t>
      </w:r>
      <w:r>
        <w:rPr>
          <w:rFonts w:hint="eastAsia" w:cs="黑体" w:asciiTheme="minorEastAsia" w:hAnsiTheme="minorEastAsia"/>
          <w:color w:val="000000"/>
          <w:kern w:val="0"/>
          <w:sz w:val="32"/>
          <w:szCs w:val="32"/>
          <w:lang w:eastAsia="zh-CN"/>
        </w:rPr>
        <w:t>、更换陈旧办公设备等</w:t>
      </w:r>
      <w:r>
        <w:rPr>
          <w:rFonts w:hint="eastAsia" w:cs="黑体" w:asciiTheme="minorEastAsia" w:hAnsiTheme="minorEastAsia"/>
          <w:color w:val="000000"/>
          <w:kern w:val="0"/>
          <w:sz w:val="32"/>
          <w:szCs w:val="32"/>
        </w:rPr>
        <w:t>。</w:t>
      </w:r>
    </w:p>
    <w:p>
      <w:pPr>
        <w:ind w:firstLine="643" w:firstLineChars="200"/>
        <w:outlineLvl w:val="2"/>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rPr>
        <w:t>2019年本部门开支会议费</w:t>
      </w:r>
      <w:r>
        <w:rPr>
          <w:rFonts w:hint="eastAsia" w:cs="黑体" w:asciiTheme="minorEastAsia" w:hAnsiTheme="minorEastAsia"/>
          <w:color w:val="000000"/>
          <w:kern w:val="0"/>
          <w:sz w:val="32"/>
          <w:szCs w:val="32"/>
          <w:highlight w:val="none"/>
          <w:lang w:val="en-US" w:eastAsia="zh-CN"/>
        </w:rPr>
        <w:t>0.12</w:t>
      </w:r>
      <w:r>
        <w:rPr>
          <w:rFonts w:hint="eastAsia" w:cs="黑体" w:asciiTheme="minorEastAsia" w:hAnsiTheme="minorEastAsia"/>
          <w:color w:val="000000"/>
          <w:kern w:val="0"/>
          <w:sz w:val="32"/>
          <w:szCs w:val="32"/>
          <w:highlight w:val="none"/>
        </w:rPr>
        <w:t>万元，用于召开</w:t>
      </w:r>
      <w:r>
        <w:rPr>
          <w:rFonts w:hint="eastAsia" w:cs="黑体" w:asciiTheme="minorEastAsia" w:hAnsiTheme="minorEastAsia"/>
          <w:color w:val="000000"/>
          <w:kern w:val="0"/>
          <w:sz w:val="32"/>
          <w:szCs w:val="32"/>
          <w:highlight w:val="none"/>
          <w:lang w:eastAsia="zh-CN"/>
        </w:rPr>
        <w:t>日常工作</w:t>
      </w:r>
      <w:r>
        <w:rPr>
          <w:rFonts w:hint="eastAsia" w:cs="黑体" w:asciiTheme="minorEastAsia" w:hAnsiTheme="minorEastAsia"/>
          <w:color w:val="000000"/>
          <w:kern w:val="0"/>
          <w:sz w:val="32"/>
          <w:szCs w:val="32"/>
          <w:highlight w:val="none"/>
        </w:rPr>
        <w:t>会议</w:t>
      </w:r>
      <w:r>
        <w:rPr>
          <w:rFonts w:hint="eastAsia" w:cs="黑体" w:asciiTheme="minorEastAsia" w:hAnsiTheme="minorEastAsia"/>
          <w:color w:val="000000"/>
          <w:kern w:val="0"/>
          <w:sz w:val="32"/>
          <w:szCs w:val="32"/>
          <w:highlight w:val="none"/>
          <w:lang w:eastAsia="zh-CN"/>
        </w:rPr>
        <w:t>，人数</w:t>
      </w:r>
      <w:r>
        <w:rPr>
          <w:rFonts w:hint="eastAsia" w:cs="黑体" w:asciiTheme="minorEastAsia" w:hAnsiTheme="minorEastAsia"/>
          <w:color w:val="000000"/>
          <w:kern w:val="0"/>
          <w:sz w:val="32"/>
          <w:szCs w:val="32"/>
          <w:highlight w:val="none"/>
          <w:lang w:val="en-US" w:eastAsia="zh-CN"/>
        </w:rPr>
        <w:t>600</w:t>
      </w:r>
      <w:r>
        <w:rPr>
          <w:rFonts w:hint="eastAsia" w:cs="黑体" w:asciiTheme="minorEastAsia" w:hAnsiTheme="minorEastAsia"/>
          <w:color w:val="000000"/>
          <w:kern w:val="0"/>
          <w:sz w:val="32"/>
          <w:szCs w:val="32"/>
          <w:highlight w:val="none"/>
          <w:lang w:eastAsia="zh-CN"/>
        </w:rPr>
        <w:t>人，内容为财政业务工作会议</w:t>
      </w:r>
      <w:r>
        <w:rPr>
          <w:rFonts w:hint="eastAsia" w:cs="黑体" w:asciiTheme="minorEastAsia" w:hAnsiTheme="minorEastAsia"/>
          <w:color w:val="000000"/>
          <w:kern w:val="0"/>
          <w:sz w:val="32"/>
          <w:szCs w:val="32"/>
          <w:highlight w:val="none"/>
        </w:rPr>
        <w:t>；开支培训费</w:t>
      </w:r>
      <w:r>
        <w:rPr>
          <w:rFonts w:hint="eastAsia" w:cs="黑体" w:asciiTheme="minorEastAsia" w:hAnsiTheme="minorEastAsia"/>
          <w:color w:val="000000"/>
          <w:kern w:val="0"/>
          <w:sz w:val="32"/>
          <w:szCs w:val="32"/>
          <w:highlight w:val="none"/>
          <w:lang w:val="en-US" w:eastAsia="zh-CN"/>
        </w:rPr>
        <w:t>3.44</w:t>
      </w:r>
      <w:r>
        <w:rPr>
          <w:rFonts w:hint="eastAsia" w:cs="黑体" w:asciiTheme="minorEastAsia" w:hAnsiTheme="minorEastAsia"/>
          <w:color w:val="000000"/>
          <w:kern w:val="0"/>
          <w:sz w:val="32"/>
          <w:szCs w:val="32"/>
          <w:highlight w:val="none"/>
        </w:rPr>
        <w:t>万元</w:t>
      </w:r>
      <w:r>
        <w:rPr>
          <w:rFonts w:hint="eastAsia" w:cs="黑体" w:asciiTheme="minorEastAsia" w:hAnsiTheme="minorEastAsia"/>
          <w:color w:val="000000"/>
          <w:kern w:val="0"/>
          <w:sz w:val="32"/>
          <w:szCs w:val="32"/>
          <w:highlight w:val="none"/>
          <w:lang w:eastAsia="zh-CN"/>
        </w:rPr>
        <w:t>，用于财政业务培训支出，人数</w:t>
      </w:r>
      <w:r>
        <w:rPr>
          <w:rFonts w:hint="eastAsia" w:cs="黑体" w:asciiTheme="minorEastAsia" w:hAnsiTheme="minorEastAsia"/>
          <w:color w:val="000000"/>
          <w:kern w:val="0"/>
          <w:sz w:val="32"/>
          <w:szCs w:val="32"/>
          <w:highlight w:val="none"/>
          <w:lang w:val="en-US" w:eastAsia="zh-CN"/>
        </w:rPr>
        <w:t>7</w:t>
      </w:r>
      <w:r>
        <w:rPr>
          <w:rFonts w:hint="eastAsia" w:cs="黑体" w:asciiTheme="minorEastAsia" w:hAnsiTheme="minorEastAsia"/>
          <w:color w:val="000000"/>
          <w:kern w:val="0"/>
          <w:sz w:val="32"/>
          <w:szCs w:val="32"/>
          <w:highlight w:val="none"/>
          <w:lang w:eastAsia="zh-CN"/>
        </w:rPr>
        <w:t>人，内容为财政国库业务培训、项目绩效管理、审计重点、财税筹划等实务问题分析培训、会计领军学员培训等。</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48.83</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28</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14.83</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48.83</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48.83</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1辆，其中，领导干部用车0辆、机要通信用车0辆、应急保障用车0辆、执法执勤用车0辆、特种专业技术用车0辆、其他用车1辆，其他用车主要是公务用车；单位价值50万元以上通用设备0台（套）；单位价值100万元以上专用设备0台（套）。</w:t>
      </w:r>
    </w:p>
    <w:p>
      <w:pPr>
        <w:ind w:firstLine="640" w:firstLineChars="200"/>
        <w:rPr>
          <w:rFonts w:hint="eastAsia" w:cs="黑体" w:asciiTheme="minorEastAsia" w:hAnsiTheme="minorEastAsia"/>
          <w:color w:val="000000"/>
          <w:kern w:val="0"/>
          <w:sz w:val="32"/>
          <w:szCs w:val="32"/>
        </w:rPr>
      </w:pPr>
    </w:p>
    <w:p>
      <w:pPr>
        <w:pStyle w:val="11"/>
        <w:jc w:val="both"/>
        <w:outlineLvl w:val="0"/>
        <w:rPr>
          <w:rFonts w:ascii="黑体" w:eastAsia="黑体" w:cs="黑体"/>
          <w:color w:val="000000"/>
          <w:kern w:val="0"/>
          <w:sz w:val="44"/>
          <w:szCs w:val="44"/>
        </w:rPr>
      </w:pPr>
      <w:r>
        <w:rPr>
          <w:rFonts w:hint="eastAsia"/>
          <w:sz w:val="44"/>
          <w:szCs w:val="44"/>
        </w:rPr>
        <w:t>第四部分</w:t>
      </w:r>
      <w:r>
        <w:rPr>
          <w:rFonts w:hint="eastAsia" w:ascii="黑体" w:eastAsia="黑体" w:cs="黑体"/>
          <w:color w:val="000000"/>
          <w:kern w:val="0"/>
          <w:sz w:val="44"/>
          <w:szCs w:val="44"/>
        </w:rPr>
        <w:t>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指</w:t>
      </w:r>
      <w:r>
        <w:rPr>
          <w:rFonts w:hint="eastAsia" w:ascii="仿宋" w:hAnsi="仿宋" w:eastAsia="仿宋" w:cs="仿宋"/>
          <w:sz w:val="32"/>
          <w:lang w:val="en-US" w:eastAsia="zh-CN"/>
        </w:rPr>
        <w:t>本级</w:t>
      </w:r>
      <w:r>
        <w:rPr>
          <w:rFonts w:ascii="仿宋" w:hAnsi="仿宋" w:eastAsia="仿宋" w:cs="仿宋"/>
          <w:sz w:val="32"/>
        </w:rPr>
        <w:t xml:space="preserve">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pStyle w:val="11"/>
        <w:jc w:val="both"/>
        <w:outlineLvl w:val="0"/>
        <w:rPr>
          <w:rFonts w:hint="default"/>
          <w:sz w:val="44"/>
          <w:szCs w:val="44"/>
        </w:rPr>
      </w:pPr>
      <w:r>
        <w:rPr>
          <w:rFonts w:hint="eastAsia"/>
          <w:sz w:val="44"/>
          <w:szCs w:val="44"/>
        </w:rPr>
        <w:t>第五部分 附件</w:t>
      </w:r>
    </w:p>
    <w:p>
      <w:pPr>
        <w:keepNext/>
        <w:keepLines/>
        <w:spacing w:beforeLines="0" w:afterLines="0"/>
        <w:ind w:firstLine="640"/>
      </w:pPr>
      <w:r>
        <w:rPr>
          <w:rFonts w:hint="eastAsia" w:ascii="仿宋" w:hAnsi="仿宋" w:eastAsia="仿宋"/>
          <w:sz w:val="32"/>
          <w:highlight w:val="white"/>
          <w:lang w:val="en-US" w:eastAsia="zh-CN"/>
        </w:rPr>
        <w:t>益阳市资阳区财政局2019年</w:t>
      </w:r>
      <w:r>
        <w:rPr>
          <w:rFonts w:hint="eastAsia" w:ascii="仿宋" w:hAnsi="仿宋" w:eastAsia="仿宋"/>
          <w:sz w:val="32"/>
          <w:highlight w:val="white"/>
        </w:rPr>
        <w:t>部门决算公开表格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E1C2B"/>
    <w:rsid w:val="0294374A"/>
    <w:rsid w:val="04674275"/>
    <w:rsid w:val="04F233F6"/>
    <w:rsid w:val="080F1F7D"/>
    <w:rsid w:val="08864F04"/>
    <w:rsid w:val="097501F0"/>
    <w:rsid w:val="09E97797"/>
    <w:rsid w:val="0D137CB2"/>
    <w:rsid w:val="0DD70B4C"/>
    <w:rsid w:val="0F4435E7"/>
    <w:rsid w:val="0F6E1C2B"/>
    <w:rsid w:val="1298790F"/>
    <w:rsid w:val="15D51FD6"/>
    <w:rsid w:val="1B763DF0"/>
    <w:rsid w:val="1E304470"/>
    <w:rsid w:val="20466273"/>
    <w:rsid w:val="206D6EE3"/>
    <w:rsid w:val="27373FE5"/>
    <w:rsid w:val="28464E13"/>
    <w:rsid w:val="2D146EC0"/>
    <w:rsid w:val="2FF4018C"/>
    <w:rsid w:val="36313B69"/>
    <w:rsid w:val="39B97DF1"/>
    <w:rsid w:val="3A804E10"/>
    <w:rsid w:val="3CF507C5"/>
    <w:rsid w:val="415356CE"/>
    <w:rsid w:val="47922311"/>
    <w:rsid w:val="49100321"/>
    <w:rsid w:val="496C5A3B"/>
    <w:rsid w:val="4C8F1669"/>
    <w:rsid w:val="4F784BC7"/>
    <w:rsid w:val="500F3775"/>
    <w:rsid w:val="51194F31"/>
    <w:rsid w:val="52A47D7D"/>
    <w:rsid w:val="54281F71"/>
    <w:rsid w:val="56FA1FF5"/>
    <w:rsid w:val="5A301330"/>
    <w:rsid w:val="5D0733AB"/>
    <w:rsid w:val="5F020277"/>
    <w:rsid w:val="5F6B3FFA"/>
    <w:rsid w:val="60C9739C"/>
    <w:rsid w:val="6A871597"/>
    <w:rsid w:val="749261B6"/>
    <w:rsid w:val="76B61400"/>
    <w:rsid w:val="77931FE8"/>
    <w:rsid w:val="789B484F"/>
    <w:rsid w:val="7C603E8F"/>
    <w:rsid w:val="7D882300"/>
    <w:rsid w:val="7E6A1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30"/>
      <w:szCs w:val="22"/>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outlineLvl w:val="0"/>
    </w:pPr>
    <w:rPr>
      <w:rFonts w:eastAsia="宋体"/>
      <w:b/>
      <w:kern w:val="44"/>
      <w:sz w:val="84"/>
    </w:rPr>
  </w:style>
  <w:style w:type="paragraph" w:styleId="3">
    <w:name w:val="heading 2"/>
    <w:basedOn w:val="1"/>
    <w:next w:val="1"/>
    <w:unhideWhenUsed/>
    <w:qFormat/>
    <w:uiPriority w:val="0"/>
    <w:pPr>
      <w:keepNext/>
      <w:keepLines/>
      <w:spacing w:beforeLines="0" w:beforeAutospacing="0" w:afterLines="0" w:afterAutospacing="0" w:line="240" w:lineRule="auto"/>
      <w:ind w:firstLine="880" w:firstLineChars="200"/>
      <w:outlineLvl w:val="1"/>
    </w:pPr>
    <w:rPr>
      <w:rFonts w:ascii="Arial" w:hAnsi="Arial"/>
      <w:b/>
      <w:sz w:val="48"/>
    </w:rPr>
  </w:style>
  <w:style w:type="paragraph" w:styleId="4">
    <w:name w:val="heading 3"/>
    <w:basedOn w:val="1"/>
    <w:next w:val="1"/>
    <w:unhideWhenUsed/>
    <w:qFormat/>
    <w:uiPriority w:val="0"/>
    <w:pPr>
      <w:keepNext/>
      <w:keepLines/>
      <w:spacing w:beforeLines="0" w:beforeAutospacing="0" w:afterLines="0" w:afterAutospacing="0" w:line="240" w:lineRule="auto"/>
      <w:ind w:firstLine="880" w:firstLineChars="200"/>
      <w:outlineLvl w:val="2"/>
    </w:pPr>
    <w:rPr>
      <w:b/>
      <w:sz w:val="36"/>
    </w:rPr>
  </w:style>
  <w:style w:type="paragraph" w:styleId="5">
    <w:name w:val="heading 4"/>
    <w:basedOn w:val="1"/>
    <w:next w:val="1"/>
    <w:unhideWhenUsed/>
    <w:qFormat/>
    <w:uiPriority w:val="0"/>
    <w:pPr>
      <w:keepNext/>
      <w:keepLines/>
      <w:spacing w:beforeLines="0" w:beforeAutospacing="0" w:afterLines="0" w:afterAutospacing="0" w:line="240" w:lineRule="auto"/>
      <w:ind w:firstLine="0" w:firstLineChars="0"/>
      <w:outlineLvl w:val="3"/>
    </w:pPr>
    <w:rPr>
      <w:rFonts w:ascii="Arial" w:hAnsi="Arial" w:eastAsia="黑体"/>
    </w:rPr>
  </w:style>
  <w:style w:type="paragraph" w:styleId="6">
    <w:name w:val="heading 5"/>
    <w:basedOn w:val="1"/>
    <w:next w:val="1"/>
    <w:unhideWhenUsed/>
    <w:qFormat/>
    <w:uiPriority w:val="0"/>
    <w:pPr>
      <w:keepNext/>
      <w:keepLines/>
      <w:spacing w:beforeLines="0" w:beforeAutospacing="0" w:afterLines="0" w:afterAutospacing="0" w:line="240" w:lineRule="auto"/>
      <w:ind w:firstLine="0" w:firstLineChars="0"/>
      <w:outlineLvl w:val="4"/>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think</cp:lastModifiedBy>
  <cp:lastPrinted>2020-09-04T06:34:00Z</cp:lastPrinted>
  <dcterms:modified xsi:type="dcterms:W3CDTF">2020-09-30T07:14:10Z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