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r>
        <w:rPr>
          <w:rFonts w:hint="eastAsia"/>
          <w:sz w:val="84"/>
          <w:szCs w:val="84"/>
        </w:rPr>
        <w:t>2019年度</w:t>
      </w:r>
    </w:p>
    <w:p>
      <w:pPr>
        <w:widowControl/>
        <w:spacing w:beforeLines="50" w:afterLines="50" w:line="360" w:lineRule="auto"/>
        <w:ind w:firstLine="720" w:firstLineChars="100"/>
        <w:rPr>
          <w:rFonts w:hint="eastAsia" w:ascii="黑体" w:eastAsia="黑体" w:cs="黑体"/>
          <w:color w:val="000000"/>
          <w:kern w:val="0"/>
          <w:sz w:val="72"/>
          <w:szCs w:val="72"/>
        </w:rPr>
      </w:pPr>
      <w:r>
        <w:rPr>
          <w:rFonts w:hint="eastAsia" w:ascii="黑体" w:eastAsia="黑体" w:cs="黑体"/>
          <w:color w:val="000000"/>
          <w:kern w:val="0"/>
          <w:sz w:val="72"/>
          <w:szCs w:val="72"/>
        </w:rPr>
        <w:t>益阳市资阳区国库集中</w:t>
      </w:r>
    </w:p>
    <w:p>
      <w:pPr>
        <w:widowControl/>
        <w:spacing w:beforeLines="50" w:afterLines="50" w:line="360" w:lineRule="auto"/>
        <w:ind w:firstLine="720" w:firstLineChars="100"/>
        <w:rPr>
          <w:rFonts w:hint="eastAsia" w:ascii="黑体" w:eastAsia="黑体" w:cs="黑体"/>
          <w:color w:val="000000"/>
          <w:kern w:val="0"/>
          <w:sz w:val="84"/>
          <w:szCs w:val="84"/>
        </w:rPr>
      </w:pPr>
      <w:r>
        <w:rPr>
          <w:rFonts w:hint="eastAsia" w:ascii="黑体" w:eastAsia="黑体" w:cs="黑体"/>
          <w:color w:val="000000"/>
          <w:kern w:val="0"/>
          <w:sz w:val="72"/>
          <w:szCs w:val="72"/>
        </w:rPr>
        <w:t>支付核算中心部门决算</w:t>
      </w:r>
    </w:p>
    <w:p>
      <w:pPr>
        <w:pStyle w:val="11"/>
        <w:jc w:val="center"/>
        <w:rPr>
          <w:rFonts w:hint="eastAsia"/>
          <w:sz w:val="56"/>
          <w:szCs w:val="56"/>
        </w:rPr>
      </w:pPr>
    </w:p>
    <w:p>
      <w:pPr>
        <w:pStyle w:val="11"/>
        <w:jc w:val="center"/>
        <w:rPr>
          <w:rFonts w:hint="eastAsia"/>
          <w:sz w:val="56"/>
          <w:szCs w:val="56"/>
        </w:rPr>
      </w:pPr>
    </w:p>
    <w:p>
      <w:pPr>
        <w:pStyle w:val="11"/>
        <w:jc w:val="center"/>
        <w:rPr>
          <w:rFonts w:hint="eastAsia"/>
          <w:sz w:val="56"/>
          <w:szCs w:val="56"/>
        </w:rPr>
      </w:pPr>
    </w:p>
    <w:p>
      <w:pPr>
        <w:pStyle w:val="11"/>
        <w:jc w:val="center"/>
        <w:rPr>
          <w:rFonts w:hint="eastAsia"/>
          <w:sz w:val="56"/>
          <w:szCs w:val="56"/>
        </w:rPr>
      </w:pPr>
    </w:p>
    <w:p>
      <w:pPr>
        <w:pStyle w:val="11"/>
        <w:jc w:val="center"/>
        <w:rPr>
          <w:rFonts w:hint="eastAsia"/>
          <w:sz w:val="56"/>
          <w:szCs w:val="56"/>
        </w:rPr>
      </w:pPr>
    </w:p>
    <w:p>
      <w:pPr>
        <w:pStyle w:val="11"/>
        <w:jc w:val="center"/>
        <w:rPr>
          <w:rFonts w:hint="eastAsia"/>
          <w:sz w:val="56"/>
          <w:szCs w:val="56"/>
        </w:rPr>
      </w:pPr>
    </w:p>
    <w:p>
      <w:pPr>
        <w:rPr>
          <w:rFonts w:hint="eastAsia"/>
          <w:sz w:val="56"/>
          <w:szCs w:val="56"/>
        </w:rPr>
      </w:pPr>
    </w:p>
    <w:p>
      <w:pPr>
        <w:pStyle w:val="11"/>
        <w:spacing w:line="520" w:lineRule="exact"/>
        <w:jc w:val="center"/>
        <w:rPr>
          <w:rFonts w:hint="eastAsia"/>
          <w:sz w:val="56"/>
          <w:szCs w:val="56"/>
        </w:rPr>
      </w:pPr>
      <w:r>
        <w:rPr>
          <w:rFonts w:hint="eastAsia"/>
          <w:sz w:val="56"/>
          <w:szCs w:val="56"/>
        </w:rPr>
        <w:t>目录</w:t>
      </w:r>
    </w:p>
    <w:p>
      <w:pPr>
        <w:pStyle w:val="11"/>
        <w:spacing w:line="520" w:lineRule="exact"/>
        <w:outlineLvl w:val="0"/>
        <w:rPr>
          <w:rFonts w:ascii="仿宋_GB2312" w:hAnsi="仿宋_GB2312" w:cs="仿宋_GB2312"/>
          <w:b/>
          <w:sz w:val="28"/>
          <w:szCs w:val="28"/>
        </w:rPr>
      </w:pPr>
      <w:r>
        <w:rPr>
          <w:rFonts w:hint="eastAsia"/>
          <w:b/>
          <w:sz w:val="28"/>
          <w:szCs w:val="28"/>
        </w:rPr>
        <w:t>第一部分</w:t>
      </w:r>
      <w:r>
        <w:rPr>
          <w:rFonts w:hint="eastAsia" w:ascii="宋体" w:hAnsi="宋体" w:cs="方正小标宋简体"/>
          <w:b/>
          <w:bCs/>
          <w:sz w:val="28"/>
          <w:szCs w:val="28"/>
        </w:rPr>
        <w:t>益阳市</w:t>
      </w:r>
      <w:r>
        <w:rPr>
          <w:rFonts w:hint="eastAsia" w:ascii="宋体" w:hAnsi="宋体"/>
          <w:b/>
          <w:bCs/>
          <w:sz w:val="28"/>
          <w:szCs w:val="28"/>
        </w:rPr>
        <w:t>资阳区国库集中支付核算中心</w:t>
      </w:r>
      <w:r>
        <w:rPr>
          <w:rFonts w:hint="eastAsia"/>
          <w:b/>
          <w:sz w:val="28"/>
          <w:szCs w:val="28"/>
        </w:rPr>
        <w:t>概况</w:t>
      </w:r>
    </w:p>
    <w:p>
      <w:pPr>
        <w:pStyle w:val="11"/>
        <w:numPr>
          <w:ilvl w:val="0"/>
          <w:numId w:val="1"/>
        </w:numPr>
        <w:spacing w:line="52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部门职责</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2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2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outlineLvl w:val="0"/>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outlineLvl w:val="0"/>
        <w:rPr>
          <w:rFonts w:hint="eastAsia"/>
          <w:sz w:val="72"/>
          <w:szCs w:val="72"/>
        </w:rPr>
      </w:pPr>
      <w:r>
        <w:rPr>
          <w:rFonts w:ascii="黑体" w:hAnsi="黑体" w:eastAsia="黑体" w:cs="黑体"/>
          <w:b/>
          <w:color w:val="000000"/>
          <w:kern w:val="0"/>
          <w:sz w:val="28"/>
          <w:szCs w:val="28"/>
        </w:rPr>
        <w:t>第五部分附件</w:t>
      </w:r>
    </w:p>
    <w:p>
      <w:pPr>
        <w:pStyle w:val="11"/>
        <w:outlineLvl w:val="0"/>
        <w:rPr>
          <w:rFonts w:hint="eastAsia"/>
          <w:sz w:val="44"/>
          <w:szCs w:val="44"/>
        </w:rPr>
      </w:pPr>
      <w:r>
        <w:rPr>
          <w:rFonts w:hint="eastAsia"/>
          <w:sz w:val="44"/>
          <w:szCs w:val="44"/>
        </w:rPr>
        <w:t>第一部分益阳市资阳区国库集中支付核算中心概况</w:t>
      </w:r>
    </w:p>
    <w:p>
      <w:pPr>
        <w:pStyle w:val="12"/>
        <w:numPr>
          <w:ilvl w:val="0"/>
          <w:numId w:val="2"/>
        </w:numPr>
        <w:ind w:firstLineChars="0"/>
        <w:jc w:val="left"/>
        <w:outlineLvl w:val="1"/>
        <w:rPr>
          <w:rFonts w:ascii="黑体" w:hAnsi="黑体" w:eastAsia="黑体"/>
          <w:sz w:val="32"/>
          <w:szCs w:val="32"/>
        </w:rPr>
      </w:pPr>
      <w:r>
        <w:rPr>
          <w:rFonts w:ascii="黑体" w:hAnsi="黑体" w:eastAsia="黑体"/>
          <w:sz w:val="32"/>
          <w:szCs w:val="32"/>
        </w:rPr>
        <w:t>部门职责</w:t>
      </w:r>
    </w:p>
    <w:p>
      <w:pPr>
        <w:ind w:firstLine="320" w:firstLineChars="100"/>
        <w:jc w:val="left"/>
        <w:rPr>
          <w:rFonts w:asciiTheme="minorEastAsia" w:hAnsiTheme="minorEastAsia"/>
          <w:bCs/>
          <w:kern w:val="0"/>
          <w:sz w:val="32"/>
          <w:szCs w:val="32"/>
        </w:rPr>
      </w:pPr>
      <w:r>
        <w:rPr>
          <w:rFonts w:hint="eastAsia" w:asciiTheme="minorEastAsia" w:hAnsiTheme="minorEastAsia"/>
          <w:bCs/>
          <w:kern w:val="0"/>
          <w:sz w:val="32"/>
          <w:szCs w:val="32"/>
        </w:rPr>
        <w:t>（一）贯彻执行国家有关法律、法规和方针政策，实施区本级国库集中支付工作；</w:t>
      </w:r>
    </w:p>
    <w:p>
      <w:pPr>
        <w:widowControl/>
        <w:spacing w:beforeLines="50" w:afterLines="50" w:line="360" w:lineRule="auto"/>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（二）参与拟定区级财政国库集中支付管理制度和国库集中支付信息系统管理制度，协助管理国库集中支付信息系统建设和运行；</w:t>
      </w:r>
    </w:p>
    <w:p>
      <w:pPr>
        <w:widowControl/>
        <w:spacing w:beforeLines="50" w:afterLines="50" w:line="360" w:lineRule="auto"/>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（三）根据财政批复的单位用款计划具体办理财政直接支付和授权支付的审核和拨付；</w:t>
      </w:r>
    </w:p>
    <w:p>
      <w:pPr>
        <w:widowControl/>
        <w:spacing w:beforeLines="50" w:afterLines="50" w:line="360" w:lineRule="auto"/>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（四）负责管理经市财政局批准的零余额账户及特设专户；</w:t>
      </w:r>
    </w:p>
    <w:p>
      <w:pPr>
        <w:widowControl/>
        <w:spacing w:beforeLines="50" w:afterLines="50" w:line="360" w:lineRule="auto"/>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（五）汇总并及时向财政国库部门提供财政集中支付信息；</w:t>
      </w:r>
    </w:p>
    <w:p>
      <w:pPr>
        <w:widowControl/>
        <w:spacing w:beforeLines="50" w:afterLines="50" w:line="360" w:lineRule="auto"/>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（六）建立预警支付制度；</w:t>
      </w:r>
    </w:p>
    <w:p>
      <w:pPr>
        <w:widowControl/>
        <w:spacing w:beforeLines="50" w:afterLines="50" w:line="360" w:lineRule="auto"/>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（七）配合做好推进全区国库集中支付工作，指导全区国库集中支付机构业务工作；</w:t>
      </w:r>
    </w:p>
    <w:p>
      <w:pPr>
        <w:widowControl/>
        <w:spacing w:beforeLines="50" w:afterLines="50" w:line="360" w:lineRule="auto"/>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（八）负责乡镇街道、区直行政事业单位财政供养人员的工资审核工作；与局内各有关股室紧密配合，按照财政部工资统发软件的要求及时收集、录入有关单位、人员、工资信息等异动的数据；</w:t>
      </w:r>
    </w:p>
    <w:p>
      <w:pPr>
        <w:ind w:firstLine="320" w:firstLineChars="100"/>
        <w:jc w:val="left"/>
        <w:rPr>
          <w:rFonts w:asciiTheme="minorEastAsia" w:hAnsiTheme="minorEastAsia"/>
          <w:bCs/>
          <w:kern w:val="0"/>
          <w:sz w:val="32"/>
          <w:szCs w:val="32"/>
        </w:rPr>
      </w:pPr>
      <w:r>
        <w:rPr>
          <w:rFonts w:hint="eastAsia" w:asciiTheme="minorEastAsia" w:hAnsiTheme="minorEastAsia"/>
          <w:bCs/>
          <w:kern w:val="0"/>
          <w:sz w:val="32"/>
          <w:szCs w:val="32"/>
        </w:rPr>
        <w:t>（九）做好单位工资发放的指导协调工作；并及时、准确向上级财政部门汇总上报工资发放报表。</w:t>
      </w:r>
    </w:p>
    <w:p>
      <w:pPr>
        <w:widowControl/>
        <w:spacing w:line="600" w:lineRule="exact"/>
        <w:outlineLvl w:val="1"/>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益阳市资阳区国库集中支付核算中心内设机构包括：根据区编委核定，我中心参公编制21名，公共预算财政拨款（补助）开支人数19人，设中心主任1名，副主任2名，综合股、支付股、清算股、工资统发中心四个股室。</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（二）决算单位构成。益阳市资阳区国库集中支付核算中心</w:t>
      </w:r>
      <w:r>
        <w:rPr>
          <w:rFonts w:asciiTheme="minorEastAsia" w:hAnsiTheme="minorEastAsia"/>
          <w:bCs/>
          <w:kern w:val="0"/>
          <w:sz w:val="32"/>
          <w:szCs w:val="32"/>
        </w:rPr>
        <w:t>2019</w:t>
      </w:r>
      <w:r>
        <w:rPr>
          <w:rFonts w:hint="eastAsia" w:asciiTheme="minorEastAsia" w:hAnsiTheme="minorEastAsia"/>
          <w:bCs/>
          <w:kern w:val="0"/>
          <w:sz w:val="32"/>
          <w:szCs w:val="32"/>
        </w:rPr>
        <w:t>年部门决算公开单位构成包括：益阳市资阳区国库集中支付核算中心本级。</w:t>
      </w:r>
    </w:p>
    <w:p>
      <w:pPr>
        <w:widowControl/>
        <w:spacing w:line="600" w:lineRule="exact"/>
        <w:rPr>
          <w:rFonts w:asciiTheme="minorEastAsia" w:hAnsiTheme="minorEastAsia"/>
          <w:bCs/>
          <w:kern w:val="0"/>
          <w:sz w:val="32"/>
          <w:szCs w:val="32"/>
        </w:rPr>
      </w:pPr>
    </w:p>
    <w:p>
      <w:pPr>
        <w:pStyle w:val="11"/>
        <w:numPr>
          <w:ilvl w:val="0"/>
          <w:numId w:val="3"/>
        </w:numPr>
        <w:outlineLvl w:val="0"/>
        <w:rPr>
          <w:rFonts w:hint="eastAsia"/>
          <w:sz w:val="44"/>
          <w:szCs w:val="44"/>
        </w:rPr>
      </w:pPr>
      <w:r>
        <w:rPr>
          <w:rFonts w:hint="eastAsia"/>
          <w:sz w:val="44"/>
          <w:szCs w:val="44"/>
        </w:rPr>
        <w:t>部门决算表（见附表）</w:t>
      </w:r>
    </w:p>
    <w:p>
      <w:pPr>
        <w:pStyle w:val="11"/>
        <w:rPr>
          <w:rFonts w:hint="eastAsia"/>
          <w:sz w:val="44"/>
          <w:szCs w:val="44"/>
        </w:rPr>
      </w:pPr>
    </w:p>
    <w:p>
      <w:pPr>
        <w:pStyle w:val="11"/>
        <w:jc w:val="both"/>
        <w:outlineLvl w:val="0"/>
        <w:rPr>
          <w:rFonts w:hint="eastAsia"/>
          <w:sz w:val="48"/>
          <w:szCs w:val="48"/>
        </w:rPr>
      </w:pPr>
      <w:r>
        <w:rPr>
          <w:rFonts w:hint="eastAsia"/>
          <w:sz w:val="48"/>
          <w:szCs w:val="48"/>
        </w:rPr>
        <w:t>第三部分</w:t>
      </w:r>
      <w:r>
        <w:rPr>
          <w:sz w:val="48"/>
          <w:szCs w:val="48"/>
        </w:rPr>
        <w:t>2019</w:t>
      </w:r>
      <w:r>
        <w:rPr>
          <w:rFonts w:hint="eastAsia"/>
          <w:sz w:val="48"/>
          <w:szCs w:val="48"/>
        </w:rPr>
        <w:t>年度部门决算情况说明</w:t>
      </w:r>
    </w:p>
    <w:p>
      <w:pPr>
        <w:pStyle w:val="11"/>
        <w:outlineLvl w:val="1"/>
        <w:rPr>
          <w:rFonts w:hAnsi="黑体"/>
          <w:b/>
          <w:sz w:val="32"/>
          <w:szCs w:val="32"/>
        </w:rPr>
      </w:pPr>
      <w:r>
        <w:rPr>
          <w:rFonts w:hint="eastAsia" w:hAnsi="黑体"/>
          <w:b/>
          <w:sz w:val="32"/>
          <w:szCs w:val="32"/>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 年度收、支总计</w:t>
      </w:r>
      <w:r>
        <w:rPr>
          <w:rFonts w:hint="eastAsia" w:asciiTheme="minorEastAsia" w:hAnsiTheme="minorEastAsia" w:eastAsiaTheme="minorEastAsia"/>
          <w:sz w:val="32"/>
          <w:szCs w:val="32"/>
          <w:lang w:val="en-US" w:eastAsia="zh-CN"/>
        </w:rPr>
        <w:t>634.48</w:t>
      </w:r>
      <w:r>
        <w:rPr>
          <w:rFonts w:hint="eastAsia" w:asciiTheme="minorEastAsia" w:hAnsiTheme="minorEastAsia" w:eastAsiaTheme="minorEastAsia"/>
          <w:sz w:val="32"/>
          <w:szCs w:val="32"/>
        </w:rPr>
        <w:t>万元。与2018年</w:t>
      </w:r>
      <w:r>
        <w:rPr>
          <w:rFonts w:hint="eastAsia" w:asciiTheme="minorEastAsia" w:hAnsiTheme="minorEastAsia" w:eastAsiaTheme="minorEastAsia"/>
          <w:sz w:val="32"/>
          <w:szCs w:val="32"/>
          <w:lang w:val="en-US" w:eastAsia="zh-CN"/>
        </w:rPr>
        <w:t>623.1万元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11.38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1.83</w:t>
      </w:r>
      <w:r>
        <w:rPr>
          <w:rFonts w:hint="eastAsia" w:asciiTheme="minorEastAsia" w:hAnsiTheme="minorEastAsia" w:eastAsiaTheme="minorEastAsia"/>
          <w:sz w:val="32"/>
          <w:szCs w:val="32"/>
        </w:rPr>
        <w:t>%，主要是因为养老金比例降低，缩减开支</w:t>
      </w:r>
      <w:r>
        <w:rPr>
          <w:rFonts w:hint="eastAsia" w:asciiTheme="minorEastAsia" w:hAnsiTheme="minorEastAsia" w:eastAsiaTheme="minorEastAsia"/>
          <w:sz w:val="32"/>
          <w:szCs w:val="32"/>
          <w:lang w:eastAsia="zh-CN"/>
        </w:rPr>
        <w:t>，结余增加。</w:t>
      </w:r>
    </w:p>
    <w:p>
      <w:pPr>
        <w:pStyle w:val="11"/>
        <w:outlineLvl w:val="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本年收入合计263.43万元，其中：财政拨款收入263.43万元，占100%；上级补助收入0万元，占0%；事业收入0万元，占0%；经营收入0万元，占0%；附属单位上缴收入0万元，占0%；其他收入0万元，占0%。</w:t>
      </w:r>
    </w:p>
    <w:p>
      <w:pPr>
        <w:pStyle w:val="11"/>
        <w:outlineLvl w:val="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本年支出合计233.09万元，其中：基本支出233.09万元，占100%；项目支出0万元，占0%；上缴上级支出0万元，占0%；经营支出0万元，占0%；对附属单位补助支出0万元，占0%。</w:t>
      </w:r>
    </w:p>
    <w:p>
      <w:pPr>
        <w:pStyle w:val="11"/>
        <w:outlineLvl w:val="1"/>
        <w:rPr>
          <w:rFonts w:hAnsi="黑体"/>
          <w:b/>
          <w:sz w:val="32"/>
          <w:szCs w:val="32"/>
        </w:rPr>
      </w:pPr>
      <w:r>
        <w:rPr>
          <w:rFonts w:hint="eastAsia" w:hAnsi="黑体"/>
          <w:b/>
          <w:sz w:val="32"/>
          <w:szCs w:val="32"/>
        </w:rPr>
        <w:t>四、财政拨款收入支出决算总体情况说明</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2019年度财政拨款收、支总计</w:t>
      </w:r>
      <w:r>
        <w:rPr>
          <w:rFonts w:hint="eastAsia" w:asciiTheme="minorEastAsia" w:hAnsiTheme="minorEastAsia" w:eastAsiaTheme="minorEastAsia"/>
          <w:sz w:val="32"/>
          <w:szCs w:val="32"/>
          <w:lang w:val="en-US" w:eastAsia="zh-CN"/>
        </w:rPr>
        <w:t>634.48</w:t>
      </w:r>
      <w:r>
        <w:rPr>
          <w:rFonts w:hint="eastAsia" w:asciiTheme="minorEastAsia" w:hAnsiTheme="minorEastAsia" w:eastAsiaTheme="minorEastAsia"/>
          <w:sz w:val="32"/>
          <w:szCs w:val="32"/>
        </w:rPr>
        <w:t>万元，与2018年</w:t>
      </w:r>
      <w:r>
        <w:rPr>
          <w:rFonts w:hint="eastAsia" w:asciiTheme="minorEastAsia" w:hAnsiTheme="minorEastAsia" w:eastAsiaTheme="minorEastAsia"/>
          <w:sz w:val="32"/>
          <w:szCs w:val="32"/>
          <w:lang w:val="en-US" w:eastAsia="zh-CN"/>
        </w:rPr>
        <w:t>623.10万元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11.38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1.83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主要是因为养老金比例降低，缩减开支</w:t>
      </w:r>
      <w:r>
        <w:rPr>
          <w:rFonts w:hint="eastAsia" w:asciiTheme="minorEastAsia" w:hAnsiTheme="minorEastAsia" w:eastAsiaTheme="minorEastAsia"/>
          <w:sz w:val="32"/>
          <w:szCs w:val="32"/>
          <w:lang w:eastAsia="zh-CN"/>
        </w:rPr>
        <w:t>，结余增加</w:t>
      </w:r>
      <w:r>
        <w:rPr>
          <w:rFonts w:hint="eastAsia" w:asciiTheme="minorEastAsia" w:hAnsiTheme="minorEastAsia" w:eastAsiaTheme="minorEastAsia"/>
          <w:sz w:val="32"/>
          <w:szCs w:val="32"/>
        </w:rPr>
        <w:t>。</w:t>
      </w:r>
    </w:p>
    <w:p>
      <w:pPr>
        <w:pStyle w:val="11"/>
        <w:numPr>
          <w:ilvl w:val="0"/>
          <w:numId w:val="4"/>
        </w:numPr>
        <w:outlineLvl w:val="1"/>
        <w:rPr>
          <w:rFonts w:hAnsi="黑体"/>
          <w:b/>
          <w:sz w:val="32"/>
          <w:szCs w:val="32"/>
        </w:rPr>
      </w:pPr>
      <w:r>
        <w:rPr>
          <w:rFonts w:hint="eastAsia" w:hAnsi="黑体"/>
          <w:b/>
          <w:sz w:val="32"/>
          <w:szCs w:val="32"/>
        </w:rPr>
        <w:t>一般公共预算财政拨款支出决算情况说明</w:t>
      </w:r>
    </w:p>
    <w:p>
      <w:pPr>
        <w:pStyle w:val="11"/>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2019年度财政拨款支出233.09万元，占本年支出合计的100%，与2018年252.05</w:t>
      </w:r>
      <w:r>
        <w:rPr>
          <w:rFonts w:hint="eastAsia" w:ascii="宋体" w:hAnsi="宋体" w:cs="仿宋_GB2312"/>
          <w:bCs/>
          <w:sz w:val="28"/>
          <w:szCs w:val="28"/>
        </w:rPr>
        <w:t>万元</w:t>
      </w:r>
      <w:r>
        <w:rPr>
          <w:rFonts w:hint="eastAsia" w:asciiTheme="minorEastAsia" w:hAnsiTheme="minorEastAsia" w:eastAsiaTheme="minorEastAsia"/>
          <w:sz w:val="32"/>
          <w:szCs w:val="32"/>
        </w:rPr>
        <w:t>相比，减少18.96万元，减少7.52%，主要是因为厉行节约，缩减开支。</w:t>
      </w:r>
    </w:p>
    <w:p>
      <w:pPr>
        <w:pStyle w:val="11"/>
        <w:ind w:firstLine="80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233.09万元，主要用于以下方面：一般公共服务（类）支出183.73万元，占78.82%；社会保障和就业（类）支出23.51万元，占10.09%;卫生健康支出（类）支出11.75万元，占5.04%;住房保障支出（类）支出14.10万元，占6.05%。</w:t>
      </w:r>
    </w:p>
    <w:p>
      <w:pPr>
        <w:pStyle w:val="11"/>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2019年度财政拨款支出年初预算数为247.63万元，支出决算数为233.09万元，完成年初预算的94.13%，其中：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1、一般公共服务（类）财政事务（款）行政运行（项）。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主要用于人员经费及日常公用开支。年初预算为198.27万元，支出决算为183.73万元，完成年初预算的92.67%，决算数大于（小于）年初预算数的主要原因是：厉行节约，缩减开支。</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2、一般公共服务（类）财政事务（款）机关事业单位基本养老保险缴费支出（项）。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主要用于单位养老保险费支出。年初预算为23.51万元，支出决算为23.51万元，完成年初预算的100%。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3、一般公共服务（类）财政事务（款）行政单位医疗（项）。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主要用于单位基本医疗保险。年初预算为11.75万元，支出决算为11.75万元，完成年初预算的100%。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4、一般公共服务（类）财政事务（款）住房公积金（项）。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主要用于单位配缴住房公积金。年初预算为14.10万元，支出决算为14.10万元，完成年初预算的100%。</w:t>
      </w:r>
    </w:p>
    <w:p>
      <w:pPr>
        <w:pStyle w:val="11"/>
        <w:outlineLvl w:val="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233.09万元，其中：人员经费212.67万元，占基本支出的91.24%,主要包括基本工资、津贴补贴、奖金、伙食补助费、社会保障缴费、住房公积金及其他工资福利支出；公用经费20.42万元，占基本支出的8.76%，主要包括办公费、印刷费、咨询费、水电费、邮电费、差旅费、维修（护）费、会议费、培训费、公务接待费、公务用车运行维护费、办公设备购置等。</w:t>
      </w:r>
      <w:bookmarkStart w:id="0" w:name="_GoBack"/>
      <w:bookmarkEnd w:id="0"/>
    </w:p>
    <w:p>
      <w:pPr>
        <w:pStyle w:val="11"/>
        <w:outlineLvl w:val="1"/>
        <w:rPr>
          <w:rFonts w:hAnsi="黑体"/>
          <w:b/>
          <w:sz w:val="32"/>
          <w:szCs w:val="32"/>
        </w:rPr>
      </w:pPr>
      <w:r>
        <w:rPr>
          <w:rFonts w:hint="eastAsia" w:hAnsi="黑体"/>
          <w:b/>
          <w:sz w:val="32"/>
          <w:szCs w:val="32"/>
        </w:rPr>
        <w:t>七、一般公共预算财政拨款三公经费支出决算情况说明</w:t>
      </w:r>
    </w:p>
    <w:p>
      <w:pPr>
        <w:pStyle w:val="11"/>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“三公”经费财政拨款支出预算为0万元，支出决算为0万元，其中：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因公出国（境）费支出预算为0万元，支出决算为0万元，与上年持平。</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公务接待费支出预算为2.8万元，由其他收入安排，支出决算为0万元，与上年持平。</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公务用车购置费及运行维护费支出预算为0万元，支出决算为0万元，与上年持平。</w:t>
      </w:r>
    </w:p>
    <w:p>
      <w:pPr>
        <w:pStyle w:val="11"/>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2019年度“三公”经费财政拨款支出决算中，公务接待费支出决算0万元，0因公出国（境）费支出决算0万元，0公务用车购置费及运行维护费支出决算0万元。其中：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2、公务接待费支出决算为0万元，全年共接待来访团组0个、来宾0人次。</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w:t>
      </w:r>
      <w:r>
        <w:rPr>
          <w:rFonts w:hint="eastAsia" w:asciiTheme="minorEastAsia" w:hAnsiTheme="minorEastAsia"/>
          <w:bCs/>
          <w:kern w:val="0"/>
          <w:sz w:val="32"/>
          <w:szCs w:val="32"/>
        </w:rPr>
        <w:t>益阳市资阳区国库集中支付核算中心</w:t>
      </w:r>
      <w:r>
        <w:rPr>
          <w:rFonts w:hint="eastAsia" w:asciiTheme="minorEastAsia" w:hAnsiTheme="minorEastAsia"/>
          <w:sz w:val="32"/>
          <w:szCs w:val="32"/>
        </w:rPr>
        <w:t>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公务用车运行维护费0万元，截止2019年12月31日，我单位开支财政拨款的公务用车保有量为0辆。</w:t>
      </w:r>
    </w:p>
    <w:p>
      <w:pPr>
        <w:pStyle w:val="11"/>
        <w:outlineLvl w:val="1"/>
        <w:rPr>
          <w:rFonts w:hAnsi="黑体"/>
          <w:b/>
          <w:sz w:val="32"/>
          <w:szCs w:val="32"/>
        </w:rPr>
      </w:pPr>
      <w:r>
        <w:rPr>
          <w:rFonts w:hint="eastAsia" w:hAnsi="黑体"/>
          <w:b/>
          <w:sz w:val="32"/>
          <w:szCs w:val="32"/>
        </w:rPr>
        <w:t>八、政府性基金预算收入支出决算情况</w:t>
      </w:r>
    </w:p>
    <w:p>
      <w:pPr>
        <w:pStyle w:val="11"/>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本单位无政府性基金收支。</w:t>
      </w:r>
    </w:p>
    <w:p>
      <w:pPr>
        <w:pStyle w:val="11"/>
        <w:outlineLvl w:val="1"/>
        <w:rPr>
          <w:rFonts w:hAnsi="黑体"/>
          <w:b/>
          <w:sz w:val="32"/>
          <w:szCs w:val="32"/>
        </w:rPr>
      </w:pPr>
      <w:r>
        <w:rPr>
          <w:rFonts w:hint="eastAsia" w:hAnsi="黑体"/>
          <w:b/>
          <w:sz w:val="32"/>
          <w:szCs w:val="32"/>
        </w:rPr>
        <w:t>九、关于2019年度预算绩效情况说明</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2019年本单位没有独立进行预算绩效考核。</w:t>
      </w:r>
    </w:p>
    <w:p>
      <w:pPr>
        <w:pStyle w:val="11"/>
        <w:outlineLvl w:val="1"/>
        <w:rPr>
          <w:rFonts w:hAnsi="黑体"/>
          <w:b/>
          <w:sz w:val="32"/>
          <w:szCs w:val="32"/>
        </w:rPr>
      </w:pPr>
      <w:r>
        <w:rPr>
          <w:rFonts w:hint="eastAsia" w:hAnsi="黑体"/>
          <w:b/>
          <w:sz w:val="32"/>
          <w:szCs w:val="32"/>
        </w:rPr>
        <w:t>十、其他重要事项情况说明</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年度机关运行经费支出20.42万元，比年初预算数80.74万元减少60.32万元，降低74.71%。主要原因是：厉行节约，缩减开支。</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2019年本部门开支会议费0万元；开支培训费0万元；举办</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等节庆、晚会、论坛、赛事活动，开支0万元。</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ind w:firstLine="640" w:firstLineChars="200"/>
        <w:rPr>
          <w:rFonts w:cs="黑体" w:asciiTheme="minorEastAsia" w:hAnsiTheme="minorEastAsia"/>
          <w:color w:val="000000"/>
          <w:kern w:val="0"/>
          <w:sz w:val="32"/>
          <w:szCs w:val="32"/>
        </w:rPr>
      </w:pPr>
    </w:p>
    <w:p>
      <w:pPr>
        <w:pStyle w:val="11"/>
        <w:jc w:val="both"/>
        <w:outlineLvl w:val="0"/>
        <w:rPr>
          <w:rFonts w:hint="eastAsia"/>
          <w:sz w:val="44"/>
          <w:szCs w:val="44"/>
        </w:rPr>
      </w:pPr>
      <w:r>
        <w:rPr>
          <w:rFonts w:hint="eastAsia"/>
          <w:sz w:val="44"/>
          <w:szCs w:val="44"/>
        </w:rPr>
        <w:t>第四部分名词解释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r>
        <w:rPr>
          <w:rFonts w:ascii="仿宋" w:hAnsi="仿宋" w:eastAsia="仿宋" w:cs="仿宋"/>
          <w:b/>
          <w:color w:val="FF0000"/>
          <w:sz w:val="32"/>
        </w:rPr>
        <w:t>（单位特有的名称解释，请自行添加）</w:t>
      </w:r>
    </w:p>
    <w:p>
      <w:pPr>
        <w:ind w:firstLine="643"/>
        <w:jc w:val="left"/>
        <w:rPr>
          <w:rFonts w:ascii="仿宋" w:hAnsi="仿宋" w:eastAsia="仿宋" w:cs="仿宋"/>
          <w:b/>
          <w:color w:val="FF0000"/>
          <w:sz w:val="32"/>
        </w:rPr>
      </w:pPr>
    </w:p>
    <w:p>
      <w:pPr>
        <w:pStyle w:val="11"/>
        <w:jc w:val="both"/>
        <w:outlineLvl w:val="0"/>
        <w:rPr>
          <w:rFonts w:hint="eastAsia"/>
          <w:sz w:val="44"/>
          <w:szCs w:val="44"/>
        </w:rPr>
      </w:pPr>
      <w:r>
        <w:rPr>
          <w:rFonts w:hint="eastAsia"/>
          <w:sz w:val="44"/>
          <w:szCs w:val="44"/>
        </w:rPr>
        <w:t>第五部分 附件</w:t>
      </w:r>
    </w:p>
    <w:p>
      <w:pPr>
        <w:keepNext/>
        <w:keepLines/>
        <w:ind w:firstLine="640"/>
        <w:rPr>
          <w:rFonts w:ascii="仿宋" w:hAnsi="仿宋" w:eastAsia="仿宋"/>
          <w:b/>
          <w:sz w:val="32"/>
          <w:highlight w:val="white"/>
        </w:rPr>
      </w:pPr>
      <w:r>
        <w:rPr>
          <w:rFonts w:hint="eastAsia" w:ascii="仿宋" w:hAnsi="仿宋" w:eastAsia="仿宋"/>
          <w:sz w:val="32"/>
          <w:highlight w:val="white"/>
        </w:rPr>
        <w:t>2019年度XX部门决算公开表格</w:t>
      </w:r>
    </w:p>
    <w:p>
      <w:pPr>
        <w:widowControl/>
        <w:jc w:val="left"/>
        <w:rPr>
          <w:rFonts w:hint="eastAsia" w:ascii="黑体" w:eastAsia="黑体" w:cs="黑体"/>
          <w:color w:val="000000"/>
          <w:kern w:val="0"/>
          <w:sz w:val="70"/>
          <w:szCs w:val="70"/>
        </w:rPr>
      </w:pPr>
    </w:p>
    <w:p>
      <w:pPr>
        <w:pStyle w:val="11"/>
        <w:rPr>
          <w:rFonts w:hint="eastAsia"/>
          <w:sz w:val="44"/>
          <w:szCs w:val="44"/>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FDEF3585"/>
    <w:multiLevelType w:val="singleLevel"/>
    <w:tmpl w:val="FDEF3585"/>
    <w:lvl w:ilvl="0" w:tentative="0">
      <w:start w:val="5"/>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BB21B5"/>
    <w:multiLevelType w:val="multilevel"/>
    <w:tmpl w:val="3CBB21B5"/>
    <w:lvl w:ilvl="0" w:tentative="0">
      <w:start w:val="1"/>
      <w:numFmt w:val="japaneseCounting"/>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F6E1C2B"/>
    <w:rsid w:val="00056E89"/>
    <w:rsid w:val="001D4930"/>
    <w:rsid w:val="00240BC6"/>
    <w:rsid w:val="002901DC"/>
    <w:rsid w:val="00444262"/>
    <w:rsid w:val="00453ABD"/>
    <w:rsid w:val="005B5E9B"/>
    <w:rsid w:val="005C2073"/>
    <w:rsid w:val="005E57A3"/>
    <w:rsid w:val="00657393"/>
    <w:rsid w:val="006A0467"/>
    <w:rsid w:val="006B2E46"/>
    <w:rsid w:val="006C6D92"/>
    <w:rsid w:val="0073321A"/>
    <w:rsid w:val="00790179"/>
    <w:rsid w:val="00802BC2"/>
    <w:rsid w:val="008C27AC"/>
    <w:rsid w:val="008F43B7"/>
    <w:rsid w:val="00980707"/>
    <w:rsid w:val="009D12CF"/>
    <w:rsid w:val="00AC3F0D"/>
    <w:rsid w:val="00AE0A2F"/>
    <w:rsid w:val="00B32CAB"/>
    <w:rsid w:val="00B476DD"/>
    <w:rsid w:val="00B63B3E"/>
    <w:rsid w:val="00BE5053"/>
    <w:rsid w:val="00BF2657"/>
    <w:rsid w:val="00C646E8"/>
    <w:rsid w:val="00C831AF"/>
    <w:rsid w:val="00CC0594"/>
    <w:rsid w:val="00D0273A"/>
    <w:rsid w:val="00DE06A1"/>
    <w:rsid w:val="00E50CD5"/>
    <w:rsid w:val="00E97094"/>
    <w:rsid w:val="00EA36BC"/>
    <w:rsid w:val="00FB2134"/>
    <w:rsid w:val="036E123C"/>
    <w:rsid w:val="04F233F6"/>
    <w:rsid w:val="08864F04"/>
    <w:rsid w:val="0D137CB2"/>
    <w:rsid w:val="0F6E1C2B"/>
    <w:rsid w:val="206D6EE3"/>
    <w:rsid w:val="27373FE5"/>
    <w:rsid w:val="36313B69"/>
    <w:rsid w:val="38FF7A9C"/>
    <w:rsid w:val="3A804E10"/>
    <w:rsid w:val="3CF507C5"/>
    <w:rsid w:val="415356CE"/>
    <w:rsid w:val="47922311"/>
    <w:rsid w:val="49100321"/>
    <w:rsid w:val="4E646EC4"/>
    <w:rsid w:val="4F784BC7"/>
    <w:rsid w:val="51194F31"/>
    <w:rsid w:val="53726D8F"/>
    <w:rsid w:val="5AE11096"/>
    <w:rsid w:val="5F020277"/>
    <w:rsid w:val="68D67B52"/>
    <w:rsid w:val="749261B6"/>
    <w:rsid w:val="77931FE8"/>
    <w:rsid w:val="7D88230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rFonts w:eastAsia="黑体"/>
      <w:b/>
      <w:kern w:val="44"/>
      <w:sz w:val="32"/>
    </w:rPr>
  </w:style>
  <w:style w:type="paragraph" w:styleId="3">
    <w:name w:val="heading 2"/>
    <w:basedOn w:val="1"/>
    <w:next w:val="1"/>
    <w:unhideWhenUsed/>
    <w:qFormat/>
    <w:uiPriority w:val="0"/>
    <w:pPr>
      <w:keepNext/>
      <w:keepLines/>
      <w:ind w:firstLine="880" w:firstLineChars="200"/>
      <w:outlineLvl w:val="1"/>
    </w:pPr>
    <w:rPr>
      <w:rFonts w:ascii="Arial" w:hAnsi="Arial" w:eastAsia="黑体"/>
    </w:rPr>
  </w:style>
  <w:style w:type="paragraph" w:styleId="4">
    <w:name w:val="heading 3"/>
    <w:basedOn w:val="1"/>
    <w:next w:val="1"/>
    <w:unhideWhenUsed/>
    <w:qFormat/>
    <w:uiPriority w:val="0"/>
    <w:pPr>
      <w:keepNext/>
      <w:keepLines/>
      <w:ind w:firstLine="880" w:firstLineChars="200"/>
      <w:outlineLvl w:val="2"/>
    </w:pPr>
    <w:rPr>
      <w:rFonts w:eastAsia="黑体"/>
    </w:rPr>
  </w:style>
  <w:style w:type="paragraph" w:styleId="5">
    <w:name w:val="heading 4"/>
    <w:basedOn w:val="1"/>
    <w:next w:val="1"/>
    <w:unhideWhenUsed/>
    <w:qFormat/>
    <w:uiPriority w:val="0"/>
    <w:pPr>
      <w:keepNext/>
      <w:keepLines/>
      <w:outlineLvl w:val="3"/>
    </w:pPr>
    <w:rPr>
      <w:rFonts w:ascii="Arial" w:hAnsi="Arial" w:eastAsia="黑体"/>
    </w:rPr>
  </w:style>
  <w:style w:type="paragraph" w:styleId="6">
    <w:name w:val="heading 5"/>
    <w:basedOn w:val="1"/>
    <w:next w:val="1"/>
    <w:unhideWhenUsed/>
    <w:qFormat/>
    <w:uiPriority w:val="0"/>
    <w:pPr>
      <w:keepNext/>
      <w:keepLines/>
      <w:outlineLvl w:val="4"/>
    </w:pPr>
    <w:rPr>
      <w:b/>
      <w:sz w:val="32"/>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7">
    <w:name w:val="footer"/>
    <w:basedOn w:val="1"/>
    <w:unhideWhenUsed/>
    <w:qFormat/>
    <w:uiPriority w:val="99"/>
    <w:pPr>
      <w:tabs>
        <w:tab w:val="center" w:pos="4153"/>
        <w:tab w:val="right" w:pos="8306"/>
      </w:tabs>
      <w:snapToGrid w:val="0"/>
      <w:jc w:val="left"/>
    </w:pPr>
    <w:rPr>
      <w:rFonts w:hint="eastAsia"/>
      <w:sz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rFonts w:hint="eastAsia"/>
      <w:sz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678</Words>
  <Characters>3870</Characters>
  <Lines>32</Lines>
  <Paragraphs>9</Paragraphs>
  <ScaleCrop>false</ScaleCrop>
  <LinksUpToDate>false</LinksUpToDate>
  <CharactersWithSpaces>4539</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2020-09-08T02:51:00Z</dcterms:created>
  <dc:creator>瓜老東童鞋</dc:creator>
  <cp:lastModifiedBy>Administrator</cp:lastModifiedBy>
  <dcterms:modified xsi:type="dcterms:W3CDTF">2020-09-30T07:58:53Z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