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84"/>
          <w:szCs w:val="84"/>
        </w:rPr>
      </w:pPr>
    </w:p>
    <w:p>
      <w:pPr>
        <w:pStyle w:val="12"/>
        <w:jc w:val="center"/>
        <w:rPr>
          <w:sz w:val="84"/>
          <w:szCs w:val="84"/>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2019年度</w:t>
      </w:r>
    </w:p>
    <w:p>
      <w:pPr>
        <w:pStyle w:val="12"/>
        <w:jc w:val="center"/>
        <w:rPr>
          <w:sz w:val="84"/>
          <w:szCs w:val="84"/>
        </w:rPr>
      </w:pPr>
      <w:r>
        <w:rPr>
          <w:rFonts w:hint="eastAsia"/>
          <w:sz w:val="84"/>
          <w:szCs w:val="84"/>
        </w:rPr>
        <w:t>资阳区新桥河镇人民政府部门决算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rPr>
          <w:sz w:val="56"/>
          <w:szCs w:val="56"/>
        </w:rPr>
      </w:pPr>
    </w:p>
    <w:p>
      <w:pPr>
        <w:pStyle w:val="12"/>
        <w:spacing w:line="520" w:lineRule="exact"/>
        <w:jc w:val="center"/>
        <w:rPr>
          <w:sz w:val="56"/>
          <w:szCs w:val="56"/>
        </w:rPr>
      </w:pPr>
    </w:p>
    <w:p>
      <w:pPr>
        <w:pStyle w:val="12"/>
        <w:spacing w:line="520" w:lineRule="exact"/>
        <w:jc w:val="center"/>
        <w:rPr>
          <w:sz w:val="56"/>
          <w:szCs w:val="56"/>
        </w:rPr>
      </w:pPr>
      <w:r>
        <w:rPr>
          <w:rFonts w:hint="eastAsia"/>
          <w:sz w:val="56"/>
          <w:szCs w:val="56"/>
        </w:rPr>
        <w:t>目录</w:t>
      </w:r>
    </w:p>
    <w:p>
      <w:pPr>
        <w:pStyle w:val="12"/>
        <w:spacing w:line="520" w:lineRule="exact"/>
        <w:outlineLvl w:val="0"/>
        <w:rPr>
          <w:rFonts w:ascii="仿宋_GB2312" w:hAnsi="仿宋_GB2312" w:cs="仿宋_GB2312"/>
          <w:b/>
          <w:sz w:val="28"/>
          <w:szCs w:val="28"/>
        </w:rPr>
      </w:pPr>
      <w:r>
        <w:rPr>
          <w:rFonts w:hint="eastAsia"/>
          <w:b/>
          <w:sz w:val="28"/>
          <w:szCs w:val="28"/>
        </w:rPr>
        <w:t>第一部分新桥河镇人民政府概况</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20" w:lineRule="exact"/>
        <w:outlineLvl w:val="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20" w:lineRule="exact"/>
        <w:outlineLvl w:val="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outlineLvl w:val="0"/>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outlineLvl w:val="0"/>
        <w:rPr>
          <w:sz w:val="72"/>
          <w:szCs w:val="72"/>
        </w:rPr>
      </w:pPr>
      <w:r>
        <w:rPr>
          <w:rFonts w:ascii="黑体" w:hAnsi="黑体" w:eastAsia="黑体" w:cs="黑体"/>
          <w:b/>
          <w:color w:val="000000"/>
          <w:kern w:val="0"/>
          <w:sz w:val="28"/>
          <w:szCs w:val="28"/>
        </w:rPr>
        <w:t>第五部分附件</w:t>
      </w:r>
    </w:p>
    <w:p>
      <w:pPr>
        <w:pStyle w:val="12"/>
        <w:outlineLvl w:val="0"/>
        <w:rPr>
          <w:sz w:val="44"/>
          <w:szCs w:val="44"/>
        </w:rPr>
      </w:pPr>
      <w:r>
        <w:rPr>
          <w:rFonts w:hint="eastAsia"/>
          <w:sz w:val="44"/>
          <w:szCs w:val="44"/>
        </w:rPr>
        <w:t>第一部分</w:t>
      </w:r>
      <w:r>
        <w:rPr>
          <w:sz w:val="44"/>
          <w:szCs w:val="44"/>
        </w:rPr>
        <w:t xml:space="preserve"> </w:t>
      </w:r>
      <w:r>
        <w:rPr>
          <w:rFonts w:hint="eastAsia"/>
          <w:sz w:val="44"/>
          <w:szCs w:val="44"/>
        </w:rPr>
        <w:t>新桥河镇人民政府概况</w:t>
      </w:r>
    </w:p>
    <w:p>
      <w:pPr>
        <w:spacing w:beforeLines="50" w:afterLines="50"/>
        <w:rPr>
          <w:rFonts w:ascii="黑体" w:hAnsi="黑体" w:eastAsia="黑体" w:cs="黑体"/>
          <w:sz w:val="32"/>
        </w:rPr>
      </w:pPr>
      <w:r>
        <w:rPr>
          <w:rFonts w:hint="eastAsia" w:ascii="黑体" w:hAnsi="黑体" w:eastAsia="黑体" w:cs="黑体"/>
          <w:sz w:val="32"/>
        </w:rPr>
        <w:t>一、部门职责</w:t>
      </w:r>
    </w:p>
    <w:p>
      <w:pPr>
        <w:spacing w:beforeLines="50" w:afterLines="50"/>
        <w:ind w:firstLine="64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（一）执行本级人民代表大会的决议和上级国家行政机关的决定和命令，发布决定和命令；  </w:t>
      </w:r>
    </w:p>
    <w:p>
      <w:pPr>
        <w:spacing w:beforeLines="50" w:afterLines="50"/>
        <w:ind w:firstLine="64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（二）执行本行政区域内的经济和社会发展计划、预算，管理本行政区域内的经济、教育、科学、文化、卫生、体育事业和财政、民政、公安、司法行政、计划生育等行政工作；</w:t>
      </w:r>
    </w:p>
    <w:p>
      <w:pPr>
        <w:spacing w:beforeLines="50" w:afterLines="50"/>
        <w:ind w:firstLine="64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（三）保护社会主义的全民所有的财产和劳动群众集体所有的财产，保护公民私人所有的合法财产，维护社会秩序，保障公民的人身权利、民主权利和其他权利； </w:t>
      </w:r>
    </w:p>
    <w:p>
      <w:pPr>
        <w:spacing w:beforeLines="50" w:afterLines="50"/>
        <w:ind w:firstLine="64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（四）保护各种经济组织的合法权益； </w:t>
      </w:r>
    </w:p>
    <w:p>
      <w:pPr>
        <w:spacing w:beforeLines="50" w:afterLines="50"/>
        <w:ind w:firstLine="64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（五）保障少数民族的权利和尊重少数民族的风俗习惯； </w:t>
      </w:r>
    </w:p>
    <w:p>
      <w:pPr>
        <w:spacing w:beforeLines="50" w:afterLines="50"/>
        <w:ind w:firstLine="64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（六）保障宪法和法律赋予妇女的男女平等、同工同酬和婚姻自由等各项权利；</w:t>
      </w:r>
    </w:p>
    <w:p>
      <w:pPr>
        <w:spacing w:beforeLines="50" w:afterLines="50"/>
        <w:ind w:firstLine="64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（七）办理上级人民政府交办的其他事项。</w:t>
      </w:r>
    </w:p>
    <w:p>
      <w:pPr>
        <w:widowControl/>
        <w:jc w:val="left"/>
        <w:rPr>
          <w:rFonts w:ascii="黑体" w:hAnsi="黑体" w:eastAsia="黑体" w:cs="黑体"/>
          <w:sz w:val="32"/>
        </w:rPr>
      </w:pPr>
      <w:r>
        <w:rPr>
          <w:rFonts w:hint="eastAsia" w:cs="黑体" w:asciiTheme="minorEastAsia" w:hAnsiTheme="minorEastAsia"/>
          <w:color w:val="000000"/>
          <w:kern w:val="0"/>
          <w:sz w:val="32"/>
          <w:szCs w:val="32"/>
        </w:rPr>
        <w:t>二、</w:t>
      </w:r>
      <w:r>
        <w:rPr>
          <w:rFonts w:hint="eastAsia" w:ascii="黑体" w:hAnsi="黑体" w:eastAsia="黑体" w:cs="黑体"/>
          <w:sz w:val="32"/>
        </w:rPr>
        <w:t>机构设置及决算单位构成</w:t>
      </w:r>
    </w:p>
    <w:p>
      <w:pPr>
        <w:spacing w:beforeLines="50" w:afterLines="5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内设机构设置。新桥河镇人民政府内设机构包括：党政综合办公室、经济发展办公室、卫生和计划生育办公室、社会治安综合治理办公室、安全生产管理办公室、财政所、民政所、人力资源和社会保障站、文体卫站、农业综合服务站、国土规划建设环保所、经营管理统计站。</w:t>
      </w:r>
    </w:p>
    <w:p>
      <w:pPr>
        <w:spacing w:beforeLines="50" w:afterLines="5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（二）决算单位构成。新桥河镇人民政府2019年部门决算公开单位构成包括：新桥河镇人民政府本级。</w:t>
      </w:r>
    </w:p>
    <w:tbl>
      <w:tblPr>
        <w:tblStyle w:val="10"/>
        <w:tblpPr w:leftFromText="180" w:rightFromText="180" w:vertAnchor="text" w:horzAnchor="page" w:tblpX="1785" w:tblpY="27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7" w:type="dxa"/>
          </w:tcPr>
          <w:p>
            <w:pPr>
              <w:spacing w:line="360" w:lineRule="auto"/>
              <w:jc w:val="center"/>
            </w:pPr>
            <w:r>
              <w:rPr>
                <w:rFonts w:hint="eastAsia"/>
              </w:rPr>
              <w:t>序号</w:t>
            </w:r>
          </w:p>
        </w:tc>
        <w:tc>
          <w:tcPr>
            <w:tcW w:w="6945" w:type="dxa"/>
          </w:tcPr>
          <w:p>
            <w:pPr>
              <w:spacing w:line="360" w:lineRule="auto"/>
              <w:jc w:val="center"/>
            </w:pPr>
            <w:r>
              <w:rPr>
                <w:rFonts w:hint="eastAsia"/>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7" w:type="dxa"/>
          </w:tcPr>
          <w:p>
            <w:pPr>
              <w:spacing w:line="360" w:lineRule="auto"/>
              <w:jc w:val="center"/>
            </w:pPr>
            <w:r>
              <w:rPr>
                <w:rFonts w:hint="eastAsia"/>
              </w:rPr>
              <w:t>1</w:t>
            </w:r>
          </w:p>
        </w:tc>
        <w:tc>
          <w:tcPr>
            <w:tcW w:w="6945" w:type="dxa"/>
          </w:tcPr>
          <w:p>
            <w:pPr>
              <w:spacing w:line="360" w:lineRule="auto"/>
              <w:jc w:val="center"/>
            </w:pPr>
            <w:r>
              <w:rPr>
                <w:rFonts w:hint="eastAsia"/>
              </w:rPr>
              <w:t>新桥河镇人民政府</w:t>
            </w:r>
          </w:p>
        </w:tc>
      </w:tr>
    </w:tbl>
    <w:p>
      <w:pPr>
        <w:jc w:val="left"/>
        <w:rPr>
          <w:rFonts w:ascii="仿宋_GB2312" w:eastAsia="仿宋_GB2312" w:hAnsiTheme="minorEastAsia"/>
          <w:sz w:val="28"/>
          <w:szCs w:val="32"/>
        </w:rPr>
      </w:pPr>
    </w:p>
    <w:p>
      <w:pPr>
        <w:widowControl/>
        <w:spacing w:line="600" w:lineRule="exact"/>
        <w:rPr>
          <w:rFonts w:asciiTheme="minorEastAsia" w:hAnsiTheme="minorEastAsia"/>
          <w:bCs/>
          <w:kern w:val="0"/>
          <w:sz w:val="32"/>
          <w:szCs w:val="32"/>
        </w:rPr>
      </w:pPr>
    </w:p>
    <w:p>
      <w:pPr>
        <w:pStyle w:val="12"/>
        <w:numPr>
          <w:ilvl w:val="0"/>
          <w:numId w:val="1"/>
        </w:numPr>
        <w:outlineLvl w:val="0"/>
        <w:rPr>
          <w:sz w:val="44"/>
          <w:szCs w:val="44"/>
        </w:rPr>
      </w:pPr>
      <w:r>
        <w:rPr>
          <w:rFonts w:hint="eastAsia"/>
          <w:sz w:val="44"/>
          <w:szCs w:val="44"/>
        </w:rPr>
        <w:t>部门决算表（见附表）</w:t>
      </w:r>
    </w:p>
    <w:p>
      <w:pPr>
        <w:pStyle w:val="12"/>
        <w:rPr>
          <w:sz w:val="44"/>
          <w:szCs w:val="44"/>
        </w:rPr>
      </w:pPr>
    </w:p>
    <w:p>
      <w:pPr>
        <w:pStyle w:val="12"/>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pPr>
        <w:pStyle w:val="12"/>
        <w:outlineLvl w:val="1"/>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 年度收、支总计</w:t>
      </w:r>
      <w:r>
        <w:rPr>
          <w:rFonts w:hint="eastAsia" w:asciiTheme="minorEastAsia" w:hAnsiTheme="minorEastAsia" w:eastAsiaTheme="minorEastAsia"/>
          <w:sz w:val="32"/>
          <w:szCs w:val="32"/>
          <w:lang w:val="en-US" w:eastAsia="zh-CN"/>
        </w:rPr>
        <w:t>6001.05</w:t>
      </w:r>
      <w:r>
        <w:rPr>
          <w:rFonts w:hint="eastAsia" w:asciiTheme="minorEastAsia" w:hAnsiTheme="minorEastAsia" w:eastAsiaTheme="minorEastAsia"/>
          <w:sz w:val="32"/>
          <w:szCs w:val="32"/>
        </w:rPr>
        <w:t>万元。与2018年相比，减少</w:t>
      </w:r>
      <w:r>
        <w:rPr>
          <w:rFonts w:hint="eastAsia" w:asciiTheme="minorEastAsia" w:hAnsiTheme="minorEastAsia" w:eastAsiaTheme="minorEastAsia"/>
          <w:sz w:val="32"/>
          <w:szCs w:val="32"/>
          <w:lang w:val="en-US" w:eastAsia="zh-CN"/>
        </w:rPr>
        <w:t>838.45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12.26</w:t>
      </w:r>
      <w:r>
        <w:rPr>
          <w:rFonts w:hint="eastAsia" w:asciiTheme="minorEastAsia" w:hAnsiTheme="minorEastAsia" w:eastAsiaTheme="minorEastAsia"/>
          <w:sz w:val="32"/>
          <w:szCs w:val="32"/>
        </w:rPr>
        <w:t>%，主要是因为减少非保民生项目资金。</w:t>
      </w:r>
    </w:p>
    <w:p>
      <w:pPr>
        <w:pStyle w:val="12"/>
        <w:outlineLvl w:val="1"/>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本年收入合计5055.28万元，其中：财政拨款收入4347.58万元，占86%；上级补助收入0万元，占0%；事业收入0万元，占0%；经营收入0万元，占0%；附属单位上缴收入0万元，占0%；其他收入707.7万元，占14%。</w:t>
      </w:r>
    </w:p>
    <w:p>
      <w:pPr>
        <w:pStyle w:val="12"/>
        <w:outlineLvl w:val="1"/>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本年支出合计4914.09万元，其中：基本支出1417.33万元，占28.84%；项目支出3496.75万元，占71.16%。上缴上级支出0万元，占0%；经营支出0万元，占0%；对附属单位补助支出0万元，占0%。</w:t>
      </w:r>
    </w:p>
    <w:p>
      <w:pPr>
        <w:pStyle w:val="12"/>
        <w:ind w:firstLine="640" w:firstLineChars="200"/>
        <w:rPr>
          <w:rFonts w:asciiTheme="minorEastAsia" w:hAnsiTheme="minorEastAsia" w:eastAsiaTheme="minorEastAsia"/>
          <w:sz w:val="32"/>
          <w:szCs w:val="32"/>
        </w:rPr>
      </w:pPr>
    </w:p>
    <w:p>
      <w:pPr>
        <w:pStyle w:val="12"/>
        <w:outlineLvl w:val="1"/>
        <w:rPr>
          <w:rFonts w:hAnsi="黑体"/>
          <w:b/>
          <w:sz w:val="32"/>
          <w:szCs w:val="32"/>
        </w:rPr>
      </w:pPr>
      <w:r>
        <w:rPr>
          <w:rFonts w:hint="eastAsia" w:hAnsi="黑体"/>
          <w:b/>
          <w:sz w:val="32"/>
          <w:szCs w:val="32"/>
        </w:rPr>
        <w:t>四、财政拨款收入支出决算总体情况说明</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2019年度财政拨款收、支总计</w:t>
      </w:r>
      <w:r>
        <w:rPr>
          <w:rFonts w:hint="eastAsia" w:asciiTheme="minorEastAsia" w:hAnsiTheme="minorEastAsia" w:eastAsiaTheme="minorEastAsia"/>
          <w:sz w:val="32"/>
          <w:szCs w:val="32"/>
          <w:lang w:val="en-US" w:eastAsia="zh-CN"/>
        </w:rPr>
        <w:t>4347.58</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268.58</w:t>
      </w:r>
      <w:r>
        <w:rPr>
          <w:rFonts w:hint="eastAsia" w:asciiTheme="minorEastAsia" w:hAnsiTheme="minorEastAsia" w:eastAsiaTheme="minorEastAsia"/>
          <w:sz w:val="32"/>
          <w:szCs w:val="32"/>
        </w:rPr>
        <w:t>万元,增长6.58%，主要是因为增加了人员经费及村级公益事业项目。</w:t>
      </w:r>
    </w:p>
    <w:p>
      <w:pPr>
        <w:pStyle w:val="12"/>
        <w:numPr>
          <w:ilvl w:val="0"/>
          <w:numId w:val="2"/>
        </w:numPr>
        <w:outlineLvl w:val="1"/>
        <w:rPr>
          <w:rFonts w:hAnsi="黑体"/>
          <w:b/>
          <w:sz w:val="32"/>
          <w:szCs w:val="32"/>
        </w:rPr>
      </w:pPr>
      <w:r>
        <w:rPr>
          <w:rFonts w:hint="eastAsia" w:hAnsi="黑体"/>
          <w:b/>
          <w:sz w:val="32"/>
          <w:szCs w:val="32"/>
        </w:rPr>
        <w:t>一般公共预算财政拨款支出决算情况说明</w:t>
      </w:r>
    </w:p>
    <w:p>
      <w:pPr>
        <w:pStyle w:val="12"/>
        <w:ind w:firstLine="643"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2019年度财政拨款支出3975.58万元，占本年支出合计的91.44%，与2018年相比，财政拨款支出增加161.58万元，增长4.24%，主要是因为增加了人员经费及村级公益事业项目。</w:t>
      </w:r>
    </w:p>
    <w:p>
      <w:pPr>
        <w:pStyle w:val="12"/>
        <w:ind w:firstLine="643"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3975.58万元，主要用于以下方面：一般公共服务支出643.7万元，占16.2%；文化旅游体育与传媒支出8万元，占0.2%；社会保障和就业支出209.41万元，占5.27%；卫生健康支出179万元，占4.5%；节能环保支出33.36万元，占0.84%；城乡社区支出372万元，占9.36%；农林水支出1596.82万元，占40.17%；自然资源海洋气象等支出50万元，占1.23%；保障住房支出873.29万元，占21.97%；灾害防治及应急管理支出10万元，占0.25%。</w:t>
      </w:r>
    </w:p>
    <w:p>
      <w:pPr>
        <w:pStyle w:val="12"/>
        <w:ind w:firstLine="643" w:firstLineChars="200"/>
        <w:outlineLvl w:val="2"/>
        <w:rPr>
          <w:rFonts w:asciiTheme="minorEastAsia" w:hAnsiTheme="minorEastAsia" w:eastAsiaTheme="minorEastAsia"/>
          <w:b/>
          <w:sz w:val="32"/>
          <w:szCs w:val="32"/>
        </w:rPr>
      </w:pPr>
      <w:bookmarkStart w:id="0" w:name="_GoBack"/>
      <w:r>
        <w:rPr>
          <w:rFonts w:hint="eastAsia" w:asciiTheme="minorEastAsia" w:hAnsiTheme="minorEastAsia" w:eastAsiaTheme="minorEastAsia"/>
          <w:b/>
          <w:sz w:val="32"/>
          <w:szCs w:val="32"/>
        </w:rPr>
        <w:t>（三）财政拨款支出决算具体情况</w:t>
      </w:r>
    </w:p>
    <w:bookmarkEnd w:id="0"/>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2019年度财政拨款支出年初预算数为2576.42万元，支出决算数为3975.58万元，完成年初预算的154.31%，其中：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1、一般公共服务（类）人大事务（款)其他人大事务支出(项）。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年初预算为4.08万元，支出决算为4.08万元，完成年初预算的100%。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一般公共服务（类）政协事务（款）其他政协事务支出（项）。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年初预算为1.2万元，支出决算为1.2万元，完成年初预算的100%。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一般公共服务（类）政府办公厅（室）及相关机构事务支出（款）行政运行（项）。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年初预算为302.83万元，支出决算为376.09万元，完成年初预算的124%。决算数大于年初预算数的主要原因是：自收自支人员无预算安排</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一般公共服务（类）政府办公厅（室）及相关机构事务支出（款）一般行政管理事务（项）。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221.5万元，支出决算为12.5万元，完成年初预算的5.64%。决算数小于年初预算数的主要原因是：实际支出决算数是大于预算数的，因为政府运转经费基本用于自收自支及差额人员的工资运转，在记账时，支出基本记入其他政府办公厅（室）及相关机构事务支出。</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一般公共服务（类）政府办公厅（室）及相关机构事务支出（款）其他政府办公厅（室）及相关机构事务支出（项）。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年初预算为0万元，支出决算为141.87万元。决算数大于年初预算数的主要原因是：记账时将一般公共服务（类）政府办公厅（室）及相关机构事务支出（款）一般行政管理事务（项）记入此项中。</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一般公共服务（类）财政事务（款）行政运行（项）。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年初预算为62.34万元，支出决算为62.34万元，完成年初预算的100%。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一般公共服务（类）财政事务（款）一般行政管理事务（项）。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年初预算为0万元，支出决算为13万元。决算数大于年初预算数的主要原因是：追加项目资金预算，相应支出增加。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一般公共服务（类）财政事务（款）财政国库业务（项）。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年初预算为0万元，支出决算为4万元。决算数大于年初预算数的主要原因是：追加项目资金预算，相应支出增加。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一般公共服务（类）财政事务（款）其他财政事务支出（项）。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年初预算为0万元，支出决算为8万元。决算数大于年初预算数的主要原因是：追加项目资金预算，相应支出增加。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一般公共服务（类）民族事务（款）其他民政事务支出（项）。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年初预算为0万元，支出决算为4.73万元。决算数大于年初预算数的主要原因是：追加项目资金预算，相应支出增加。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一般公共服务（类）群众团体事务（款）其他群众团体事务支出（项）。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年初预算为2万元，支出决算为2万元，完成年初预算的100%。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一般公共服务（类）宣传事务（款）其他宣传事务支出（项）。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年初预算为2.9万元，支出决算为2.9万元，完成年初预算的100%。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一般公共服务（类）统战事务（款）宗教事务（项）。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年初预算为0万元，支出决算为10万元。决算数大于年初预算数的主要原因是：追加项目资金预算，相应支出增加。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一般公共服务（类）其他一般公共服务支出（款）其他一般公共服务支出（项）。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年初预算为1万元，支出决算为1万元，完成年初预算的100%。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文化旅游体育与传媒支出（类）文化和旅游（款）群众文化（项）。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年初预算为1万元，支出决算为1万元，完成年初预算的100%。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文化旅游体育与传媒支出（类）文化和旅游（款）其他文化和旅游支出（项）。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年初预算为0万元，支出决算为7万元。决算数大于年初预算数的主要原因是：追加项目资金预算，相应支出增加。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社会保障和就业支出（类）民政管理事务（款）基层政权和社区建设（项）。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年初预算为38.78万元，支出决算为38.78万元，完成年初预算的100%。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社会保障和就业支出（类）行政事业单位离退休（款）机关事业单位基本养老保险缴费支出（项）。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年初预算为80.15万元，支出决算为80.15万元，完成年初预算的100%。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社会保障和就业支出（类）行政事业单位离退休（款）机关事业单位职业年金缴费支出（项）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年初预算为0.71万元，支出决算为0.71万元，完成年初预算的100%。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社会保障和就业支出（类）就业补助（款）其他就业补助（项）。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年初预算为0万元，支出决算为89.77万元。决算数大于年初预算数的主要原因是：追加项目资金预算，相应支出增加。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卫生健康支出（类）计划生育事务（款）其他计划生育事务支出（项）。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年初预算为44.65万元，支出决算为60.65万元，完成年初预算的135.8%。决算数大于年初预算数的主要原因是：社保、医保、住房公积金基数预算数小于实际缴纳的基数，导致决算数大于预算数。</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卫生健康支出（类）行政事业单位医疗（款）其行政单位医疗（项）。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年初预算为27.25万元，支出决算为27.25万元，完成年初预算的100%。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卫生健康支出（类）行政事业单位医疗（款）事业单位医疗（项）。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年初预算为9.7万元，支出决算为53.7万元。决算数大于年初预算数的主要原因是：自收自支及差额人员的医保缴纳无预算，导致决算数大于预算数。</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卫生健康支出（类）行政事业单位医疗（款）公务员医疗补助（项）。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年初预算为24.69万元，支出决算为24.69万元，完成年初预算的100%。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卫生健康支出（类）财政对基本医疗保险基金的补助（款）财政对基本医疗保险基金的补助（项）。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年初预算为0万元，支出决算为0.75万元。决算数大于年初预算数的主要原因是：自收自支及差额人员的医保缴纳无预算，导致决算数大于预算数。</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卫生健康支出（类）其他卫生健康支出（款）其他卫生健康支出（项）。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年初预算为12.48万元，支出决算为11.96万元，完成年初预算的95.8%。决算数小于年初预算数的主要原因是：相应支出减少一人。</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节能环保支出（类）自然生态保护（款）农村环境保护（项）。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年初预算为0万元，支出决算为33.36万元。决算数大于年初预算数的主要原因是：追加项目资金预算，相应支出增加。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城乡社区支出（类）城乡社区管理事务（款）其他城乡社区管理事务（项）。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年初预算为2万元，支出决算为2万元，完成年初预算的100%。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城乡社区支出（类）城乡社区公共设施（款）小城镇基础设施建设（项）。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年初预算为0万元，支出决算为250万元。决算数大于年初预算数的主要原因是：追加项目资金预算，相应支出增加。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城乡社区支出（类）其他城乡社区支出（款）其他城乡社区支出（项）。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年初预算为0万元，支出决算为120万元。决算数大于年初预算数的主要原因是：追加项目资金预算，相应支出增加。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农林水支出（类）农业（款）事业运行（项）。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年初预算为92.43万元，支出决算为92.43万元，完成年初预算的100%。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农林水支出（类）农业（款）防灾救灾（项）。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农林水支出（类）农业（款）农业组织化与产业化经营（项）。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年初预算为0万元，支出决算为20万元。决算数大于年初预算数的主要原因是：追加项目资金预算，相应支出增加。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农林水支出（类）农业（款）农村公益事业（项）。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年初预算为0万元，支出决算为46万元。决算数大于年初预算数的主要原因是：追加项目资金预算，相应支出增加。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农林水支出（类）农业（款）其他农业支出（项）。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年初预算为231.29万元，支出决算为200.79万元，完成年初预算的95.03%。决算数大于年初预算数的主要原因是：年初预算通过其他功能科目下达指标，相应支出减少。</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农林水支出（类）水利（款）大中型水库移民后期扶持专项支出（项）。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年初预算为0万元，支出决算为63万元。决算数大于年初预算数的主要原因是：追加项目资金预算，相应支出增加。</w:t>
      </w:r>
    </w:p>
    <w:p>
      <w:pPr>
        <w:pStyle w:val="12"/>
        <w:ind w:firstLine="800" w:firstLineChars="250"/>
        <w:rPr>
          <w:rFonts w:asciiTheme="minorEastAsia" w:hAnsiTheme="minorEastAsia" w:eastAsiaTheme="minorEastAsia"/>
          <w:sz w:val="32"/>
          <w:szCs w:val="32"/>
          <w:highlight w:val="green"/>
        </w:rPr>
      </w:pP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农林水支出（类）扶贫（款）农村基础设施建设（项）。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年初预算为0万元，支出决算为106万元。决算数大于年初预算数的主要原因是：追加项目资金预算，相应支出增加。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农林水支出（类）扶贫（款）其他扶贫支出（项）。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年初预算为0万元，支出决算为16万元。决算数大于年初预算数的主要原因是：追加项目资金预算，相应支出增加。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农林水支出（类）农村综合改革（款）对村级一事一议的补助（项）。</w:t>
      </w:r>
    </w:p>
    <w:p>
      <w:pPr>
        <w:pStyle w:val="12"/>
        <w:ind w:firstLine="800" w:firstLineChars="250"/>
        <w:rPr>
          <w:rFonts w:asciiTheme="minorEastAsia" w:hAnsiTheme="minorEastAsia" w:eastAsiaTheme="minorEastAsia"/>
          <w:sz w:val="32"/>
          <w:szCs w:val="32"/>
          <w:highlight w:val="green"/>
        </w:rPr>
      </w:pPr>
      <w:r>
        <w:rPr>
          <w:rFonts w:hint="eastAsia" w:asciiTheme="minorEastAsia" w:hAnsiTheme="minorEastAsia" w:eastAsiaTheme="minorEastAsia"/>
          <w:sz w:val="32"/>
          <w:szCs w:val="32"/>
        </w:rPr>
        <w:t>年初预算为0万元，支出决算为303万元。决算数大于年初预算数的主要原因是：追加项目资金预算，相应支出增加。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农林水支出（类）农村综合改革（款）对村民委员会和村党支部的补助（项）。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年初预算为662.6万元，支出决算为663.6万元，完成年初预算的100%。决算数大于年初预算数的主要原因是：离职村干部补助。</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农林水支出（类）农村综合改革（款）对村集体经济组织的补助（项）。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年初预算为0万元，支出决算为50万元。决算数大于年初预算数的主要原因是：追加项目资金预算，相应支出增加。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农林水支出（类）农村综合改革（款）农村综合改革示范试点补助（项）。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年初预算为0万元，支出决算为6万元。决算数大于年初预算数的主要原因是：追加项目资金预算，相应支出增加。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农林水支出（类）农村综合改革（款）其他农村综合改革支出（项）。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年初预算为0万元，支出决算为24万元。决算数大于年初预算数的主要原因是：追加项目资金预算，相应支出增加。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农林水支出（类）其他农林水支出（款）其他农林水支出（项）。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自然资源海洋气象等支出（类）自然资源事务（款）国土整治（项）。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年初预算为0万元，支出决算为50万元。决算数大于年初预算数的主要原因是：追加项目资金预算，相应支出增加。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住房保障支出（类）保障性安居工程支出（款）棚改区改造（项）。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年初预算为0万元，支出决算为240.21万元。决算数大于年初预算数的主要原因是：上年预付项目本年列支，导致决算数大于预算数。</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住房保障支出（类）保障性安居工程支出（款）其他保障性安居工程支出（项）。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年初预算为0万元，支出决算为585万元。决算数大于年初预算数的主要原因是：上年预付项目本年列支，导致决算数大于预算数。</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住房保障支出（类）住房改革支出（款）住房公积金（项）。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年初预算为48.08万元，支出决算为48.08万元，完成年初预算的100%。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灾害防治及应急管理支出（类）自然灾害救灾及恢复重建支出（款）自然灾害救灾补助（项）。</w:t>
      </w:r>
    </w:p>
    <w:p>
      <w:pPr>
        <w:pStyle w:val="12"/>
        <w:ind w:firstLine="800" w:firstLineChars="25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年初预算为0万元，支出决算为10万元。决算数大于年初预算数的主要原因是：追加项目资金预算，相应支出增加。</w:t>
      </w:r>
    </w:p>
    <w:p>
      <w:pPr>
        <w:pStyle w:val="12"/>
        <w:outlineLvl w:val="1"/>
        <w:rPr>
          <w:rFonts w:hAnsi="黑体"/>
          <w:b/>
          <w:sz w:val="32"/>
          <w:szCs w:val="32"/>
        </w:rPr>
      </w:pPr>
      <w:r>
        <w:rPr>
          <w:rFonts w:hint="eastAsia" w:hAnsi="黑体"/>
          <w:b/>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999.84万元，其中：人员经费932.41万元，占基本支出的93.26%,主要包括：主要包括基本工资、津贴补贴、奖金、伙食补助费、社会保险缴费等；公用经费67.43万元，占基本支出的6.74%，主要包括：商品和服务支出、办公费、印刷费、手续费、水费、电费、邮电费、差旅费、维修（护）费、会议费、培训费、公务接待费、</w:t>
      </w:r>
      <w:r>
        <w:rPr>
          <w:rFonts w:hint="eastAsia" w:asciiTheme="minorEastAsia" w:hAnsiTheme="minorEastAsia"/>
          <w:sz w:val="32"/>
          <w:szCs w:val="32"/>
          <w:lang w:eastAsia="zh-CN"/>
        </w:rPr>
        <w:t>公务用车维护费、</w:t>
      </w:r>
      <w:r>
        <w:rPr>
          <w:rFonts w:hint="eastAsia" w:asciiTheme="minorEastAsia" w:hAnsiTheme="minorEastAsia" w:eastAsiaTheme="minorEastAsia"/>
          <w:sz w:val="32"/>
          <w:szCs w:val="32"/>
        </w:rPr>
        <w:t>其他商品和服务支出</w:t>
      </w:r>
      <w:r>
        <w:rPr>
          <w:rFonts w:hint="eastAsia" w:asciiTheme="minorEastAsia" w:hAnsiTheme="minorEastAsia"/>
          <w:sz w:val="32"/>
          <w:szCs w:val="32"/>
          <w:lang w:eastAsia="zh-CN"/>
        </w:rPr>
        <w:t>等</w:t>
      </w:r>
      <w:r>
        <w:rPr>
          <w:rFonts w:hint="eastAsia" w:asciiTheme="minorEastAsia" w:hAnsiTheme="minorEastAsia" w:eastAsiaTheme="minorEastAsia"/>
          <w:sz w:val="32"/>
          <w:szCs w:val="32"/>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sz w:val="32"/>
          <w:szCs w:val="32"/>
        </w:rPr>
      </w:pPr>
    </w:p>
    <w:p>
      <w:pPr>
        <w:pStyle w:val="12"/>
        <w:outlineLvl w:val="1"/>
        <w:rPr>
          <w:rFonts w:hAnsi="黑体"/>
          <w:b/>
          <w:sz w:val="32"/>
          <w:szCs w:val="32"/>
        </w:rPr>
      </w:pPr>
      <w:r>
        <w:rPr>
          <w:rFonts w:hint="eastAsia" w:hAnsi="黑体"/>
          <w:b/>
          <w:sz w:val="32"/>
          <w:szCs w:val="32"/>
        </w:rPr>
        <w:t>七、一般公共预算财政拨款三公经费支出决算情况说明</w:t>
      </w: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“三公”经费财政拨款支出预算为14万元，支出决算为12.31万元，完成预算的87.93%，其中：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公务接待费支出预算为10.5万元，支出决算为6.26万元，完成预算的59.62%，决算数小于年初预算数的主要原因是缩减一般性开支，与上年相比减少0.74万元，减少10.57%,减少（增长）的主要原因是</w:t>
      </w:r>
      <w:r>
        <w:rPr>
          <w:rFonts w:hint="eastAsia" w:ascii="仿宋" w:hAnsi="仿宋" w:eastAsia="仿宋" w:cs="仿宋"/>
          <w:sz w:val="32"/>
        </w:rPr>
        <w:t>严格</w:t>
      </w:r>
      <w:r>
        <w:rPr>
          <w:rFonts w:hint="eastAsia" w:asciiTheme="minorEastAsia" w:hAnsiTheme="minorEastAsia" w:eastAsiaTheme="minorEastAsia"/>
          <w:sz w:val="32"/>
          <w:szCs w:val="32"/>
        </w:rPr>
        <w:t>按照作风建设和四项规定要求，规范公务接待标准。</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3.5万元，支出决算为6.05万元，完成预算的173%，决算数大于年初预算数的主要原因是年初预算较小，与上年相比减少0.65万元，减少9.7%,减少（增长）的主要原因是逐年缩减三公经费。</w:t>
      </w: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2019年度“三公”经费财政拨款支出决算中，公务接待费支出决算6.26万元，占50.85%,因公出国（境）费支出决算0万元，占0%,公务用车购置费及运行维护费支出决算6.05万元，占49.15%。其中：</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2、公务接待费支出决算为6.26万元，全年共接待来访团组130个、来宾780人次，主要是上次检查工作发生的接待支出。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3、公务用车购置费及运行维护费支出决算为6.05万元，其中：公务用车购置费0万元，新桥河镇人民政府更新公务用车0辆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公务用车运行维护费6.05万元，主要是公务车油费、维修费等方面支出，截止2019年12月31日，我单位开支财政拨款的公务用车保有量为1辆。</w:t>
      </w:r>
    </w:p>
    <w:p>
      <w:pPr>
        <w:pStyle w:val="12"/>
        <w:outlineLvl w:val="1"/>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2019年度政府性基金预算财政拨款收入372万元；年初结转和结余0万元；支出372万元，其中基本支出0万元，项目支出372万元；年末结转和结余0万元。</w:t>
      </w:r>
    </w:p>
    <w:p>
      <w:pPr>
        <w:pStyle w:val="12"/>
        <w:outlineLvl w:val="1"/>
        <w:rPr>
          <w:rFonts w:hAnsi="黑体"/>
          <w:b/>
          <w:sz w:val="32"/>
          <w:szCs w:val="32"/>
        </w:rPr>
      </w:pPr>
      <w:r>
        <w:rPr>
          <w:rFonts w:hint="eastAsia" w:hAnsi="黑体"/>
          <w:b/>
          <w:sz w:val="32"/>
          <w:szCs w:val="32"/>
        </w:rPr>
        <w:t>九、关于2019年度预算绩效情况说明</w:t>
      </w:r>
    </w:p>
    <w:p>
      <w:pPr>
        <w:widowControl/>
        <w:spacing w:before="150" w:after="300" w:line="600" w:lineRule="exact"/>
        <w:ind w:firstLine="640" w:firstLineChars="200"/>
        <w:jc w:val="left"/>
        <w:rPr>
          <w:rFonts w:asciiTheme="minorEastAsia" w:hAnsiTheme="minorEastAsia"/>
          <w:sz w:val="32"/>
          <w:szCs w:val="32"/>
        </w:rPr>
      </w:pPr>
      <w:r>
        <w:rPr>
          <w:rFonts w:hint="eastAsia" w:cs="黑体" w:asciiTheme="minorEastAsia" w:hAnsiTheme="minorEastAsia"/>
          <w:color w:val="000000"/>
          <w:kern w:val="0"/>
          <w:sz w:val="32"/>
          <w:szCs w:val="32"/>
        </w:rPr>
        <w:t>根据绩效管理要求，我镇对2019年度部门预算整体支出进行了绩效评价，根据部门整体支出绩效评价指标确定的内容，我单位2019年度整体支出绩效优良。</w:t>
      </w:r>
    </w:p>
    <w:p>
      <w:pPr>
        <w:pStyle w:val="12"/>
        <w:outlineLvl w:val="1"/>
        <w:rPr>
          <w:rFonts w:hAnsi="黑体"/>
          <w:b/>
          <w:sz w:val="32"/>
          <w:szCs w:val="32"/>
        </w:rPr>
      </w:pPr>
      <w:r>
        <w:rPr>
          <w:rFonts w:hint="eastAsia" w:hAnsi="黑体"/>
          <w:b/>
          <w:sz w:val="32"/>
          <w:szCs w:val="32"/>
        </w:rPr>
        <w:t>十、其他重要事项情况说明</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年度机关运行经费支出67.43万元，比年初预算数（减少）14.57万元，降低17.77%。主要原因是：</w:t>
      </w:r>
      <w:r>
        <w:rPr>
          <w:rFonts w:hint="eastAsia" w:ascii="仿宋" w:hAnsi="仿宋" w:eastAsia="仿宋" w:cs="仿宋"/>
          <w:sz w:val="32"/>
        </w:rPr>
        <w:t>严格</w:t>
      </w:r>
      <w:r>
        <w:rPr>
          <w:rFonts w:hint="eastAsia" w:asciiTheme="minorEastAsia" w:hAnsiTheme="minorEastAsia"/>
          <w:sz w:val="32"/>
          <w:szCs w:val="32"/>
        </w:rPr>
        <w:t>按照作风建设和四项规定要求，缩减非生产性支出。</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2.3万元，用于召开村支部书记、村会计、全体党员干部等会议，人数207人，内容为全镇经济工作会、党员冬春训会；开支培训费2.99万元，用于开展便民服务员业务培训，人数90人，内容为扶贫信息录入培训会、经济普查培训会。</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338.63万元，其中：政府采购货物支出5万元、政府采购工程支出99.48万元、政府采购服务支出234.15万元。授予中小企业合同金额0万元，占政府采购支出总额的0%，其中：授予小微企业合同金额0万元，占政府采购支出总额的0%。</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1辆，其中，领导干部用车0辆、机要通信用车0辆、应急保障用车0辆、执法执勤用车0辆、特种专业技术用车0辆、其他用车1辆，其他用车主要是政府公务用车；单位价值50万元以上通用设备0台（套）；单位价值100万元以上专用设备0台（套）。</w:t>
      </w:r>
    </w:p>
    <w:p>
      <w:pPr>
        <w:ind w:firstLine="640" w:firstLineChars="200"/>
        <w:rPr>
          <w:rFonts w:cs="黑体" w:asciiTheme="minorEastAsia" w:hAnsiTheme="minorEastAsia"/>
          <w:color w:val="000000"/>
          <w:kern w:val="0"/>
          <w:sz w:val="32"/>
          <w:szCs w:val="32"/>
        </w:rPr>
      </w:pPr>
    </w:p>
    <w:p>
      <w:pPr>
        <w:pStyle w:val="12"/>
        <w:jc w:val="both"/>
        <w:outlineLvl w:val="0"/>
        <w:rPr>
          <w:sz w:val="44"/>
          <w:szCs w:val="44"/>
        </w:rPr>
      </w:pPr>
      <w:r>
        <w:rPr>
          <w:rFonts w:hint="eastAsia"/>
          <w:sz w:val="44"/>
          <w:szCs w:val="44"/>
        </w:rPr>
        <w:t>第四部分名词解释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pStyle w:val="12"/>
        <w:jc w:val="both"/>
        <w:outlineLvl w:val="0"/>
        <w:rPr>
          <w:sz w:val="44"/>
          <w:szCs w:val="44"/>
        </w:rPr>
      </w:pPr>
      <w:r>
        <w:rPr>
          <w:rFonts w:hint="eastAsia"/>
          <w:sz w:val="44"/>
          <w:szCs w:val="44"/>
        </w:rPr>
        <w:t>第五部分 附件</w:t>
      </w:r>
    </w:p>
    <w:p>
      <w:pPr>
        <w:keepNext/>
        <w:keepLines/>
        <w:ind w:firstLine="640"/>
        <w:rPr>
          <w:rFonts w:ascii="仿宋" w:hAnsi="仿宋" w:eastAsia="仿宋"/>
          <w:b/>
          <w:sz w:val="32"/>
          <w:highlight w:val="white"/>
        </w:rPr>
      </w:pPr>
      <w:r>
        <w:rPr>
          <w:rFonts w:hint="eastAsia" w:ascii="仿宋" w:hAnsi="仿宋" w:eastAsia="仿宋"/>
          <w:sz w:val="32"/>
          <w:highlight w:val="white"/>
        </w:rPr>
        <w:t>2019年度资阳区新桥河镇人民政府决算公开表格</w:t>
      </w:r>
    </w:p>
    <w:p>
      <w:pPr>
        <w:widowControl/>
        <w:jc w:val="left"/>
        <w:rPr>
          <w:rFonts w:ascii="黑体" w:eastAsia="黑体" w:cs="黑体"/>
          <w:color w:val="000000"/>
          <w:kern w:val="0"/>
          <w:sz w:val="70"/>
          <w:szCs w:val="7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FDEF3585"/>
    <w:multiLevelType w:val="singleLevel"/>
    <w:tmpl w:val="FDEF3585"/>
    <w:lvl w:ilvl="0" w:tentative="0">
      <w:start w:val="5"/>
      <w:numFmt w:val="chineseCounting"/>
      <w:suff w:val="nothing"/>
      <w:lvlText w:val="%1、"/>
      <w:lvlJc w:val="left"/>
      <w:rPr>
        <w:rFonts w:hint="eastAsia"/>
      </w:rPr>
    </w:lvl>
  </w:abstractNum>
  <w:abstractNum w:abstractNumId="2">
    <w:nsid w:val="1F9A8A9F"/>
    <w:multiLevelType w:val="singleLevel"/>
    <w:tmpl w:val="1F9A8A9F"/>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C2B"/>
    <w:rsid w:val="000A5E97"/>
    <w:rsid w:val="007C1C3F"/>
    <w:rsid w:val="01325D75"/>
    <w:rsid w:val="01787C80"/>
    <w:rsid w:val="036E123C"/>
    <w:rsid w:val="04E726B5"/>
    <w:rsid w:val="04F233F6"/>
    <w:rsid w:val="062E2A84"/>
    <w:rsid w:val="069070B0"/>
    <w:rsid w:val="080B506A"/>
    <w:rsid w:val="08864F04"/>
    <w:rsid w:val="0A632B3F"/>
    <w:rsid w:val="0D137CB2"/>
    <w:rsid w:val="0F2D7BA7"/>
    <w:rsid w:val="0F6E1C2B"/>
    <w:rsid w:val="10280251"/>
    <w:rsid w:val="14CF0E94"/>
    <w:rsid w:val="16896466"/>
    <w:rsid w:val="19E238F0"/>
    <w:rsid w:val="1ACD31DA"/>
    <w:rsid w:val="20154D52"/>
    <w:rsid w:val="206D6EE3"/>
    <w:rsid w:val="207052E4"/>
    <w:rsid w:val="22B67B29"/>
    <w:rsid w:val="23C470D4"/>
    <w:rsid w:val="26877EB9"/>
    <w:rsid w:val="26B85271"/>
    <w:rsid w:val="27373FE5"/>
    <w:rsid w:val="283521F7"/>
    <w:rsid w:val="2B1B32E6"/>
    <w:rsid w:val="350975F0"/>
    <w:rsid w:val="358A1AFD"/>
    <w:rsid w:val="36313B69"/>
    <w:rsid w:val="396817BD"/>
    <w:rsid w:val="39B079FC"/>
    <w:rsid w:val="3A071EFA"/>
    <w:rsid w:val="3A804E10"/>
    <w:rsid w:val="3B4E3A28"/>
    <w:rsid w:val="3C2A6FA0"/>
    <w:rsid w:val="3C414020"/>
    <w:rsid w:val="3CF507C5"/>
    <w:rsid w:val="415356CE"/>
    <w:rsid w:val="45ED3CC1"/>
    <w:rsid w:val="467D5E55"/>
    <w:rsid w:val="476C4433"/>
    <w:rsid w:val="47922311"/>
    <w:rsid w:val="480660E7"/>
    <w:rsid w:val="49100321"/>
    <w:rsid w:val="4A9249CB"/>
    <w:rsid w:val="4B7371F8"/>
    <w:rsid w:val="4D212C01"/>
    <w:rsid w:val="4E646EC4"/>
    <w:rsid w:val="4F560624"/>
    <w:rsid w:val="4F784BC7"/>
    <w:rsid w:val="4FA07DDC"/>
    <w:rsid w:val="50CF23B1"/>
    <w:rsid w:val="51194F31"/>
    <w:rsid w:val="522D5706"/>
    <w:rsid w:val="53541DC0"/>
    <w:rsid w:val="585012FB"/>
    <w:rsid w:val="5AE11096"/>
    <w:rsid w:val="5B363806"/>
    <w:rsid w:val="5CBF53BC"/>
    <w:rsid w:val="5E0B28B0"/>
    <w:rsid w:val="5F020277"/>
    <w:rsid w:val="5F1E7F1E"/>
    <w:rsid w:val="661B4A55"/>
    <w:rsid w:val="672F35BB"/>
    <w:rsid w:val="68C91A74"/>
    <w:rsid w:val="6B595D28"/>
    <w:rsid w:val="6E2C48C4"/>
    <w:rsid w:val="6E485C99"/>
    <w:rsid w:val="6F220B78"/>
    <w:rsid w:val="73A3502D"/>
    <w:rsid w:val="749261B6"/>
    <w:rsid w:val="77931FE8"/>
    <w:rsid w:val="782C32D8"/>
    <w:rsid w:val="79DC1184"/>
    <w:rsid w:val="7B9975B2"/>
    <w:rsid w:val="7D882300"/>
    <w:rsid w:val="7FA4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rFonts w:eastAsia="黑体"/>
      <w:b/>
      <w:kern w:val="44"/>
      <w:sz w:val="32"/>
    </w:rPr>
  </w:style>
  <w:style w:type="paragraph" w:styleId="3">
    <w:name w:val="heading 2"/>
    <w:basedOn w:val="1"/>
    <w:next w:val="1"/>
    <w:semiHidden/>
    <w:unhideWhenUsed/>
    <w:qFormat/>
    <w:uiPriority w:val="0"/>
    <w:pPr>
      <w:keepNext/>
      <w:keepLines/>
      <w:ind w:firstLine="880" w:firstLineChars="200"/>
      <w:outlineLvl w:val="1"/>
    </w:pPr>
    <w:rPr>
      <w:rFonts w:ascii="Arial" w:hAnsi="Arial" w:eastAsia="黑体"/>
    </w:rPr>
  </w:style>
  <w:style w:type="paragraph" w:styleId="4">
    <w:name w:val="heading 3"/>
    <w:basedOn w:val="1"/>
    <w:next w:val="1"/>
    <w:semiHidden/>
    <w:unhideWhenUsed/>
    <w:qFormat/>
    <w:uiPriority w:val="0"/>
    <w:pPr>
      <w:keepNext/>
      <w:keepLines/>
      <w:ind w:firstLine="880" w:firstLineChars="200"/>
      <w:outlineLvl w:val="2"/>
    </w:pPr>
    <w:rPr>
      <w:rFonts w:eastAsia="黑体"/>
    </w:rPr>
  </w:style>
  <w:style w:type="paragraph" w:styleId="5">
    <w:name w:val="heading 4"/>
    <w:basedOn w:val="1"/>
    <w:next w:val="1"/>
    <w:semiHidden/>
    <w:unhideWhenUsed/>
    <w:qFormat/>
    <w:uiPriority w:val="0"/>
    <w:pPr>
      <w:keepNext/>
      <w:keepLines/>
      <w:outlineLvl w:val="3"/>
    </w:pPr>
    <w:rPr>
      <w:rFonts w:ascii="Arial" w:hAnsi="Arial" w:eastAsia="黑体"/>
    </w:rPr>
  </w:style>
  <w:style w:type="paragraph" w:styleId="6">
    <w:name w:val="heading 5"/>
    <w:basedOn w:val="1"/>
    <w:next w:val="1"/>
    <w:semiHidden/>
    <w:unhideWhenUsed/>
    <w:qFormat/>
    <w:uiPriority w:val="0"/>
    <w:pPr>
      <w:keepNext/>
      <w:keepLines/>
      <w:outlineLvl w:val="4"/>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hint="eastAsia"/>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1291</Words>
  <Characters>7362</Characters>
  <Lines>61</Lines>
  <Paragraphs>17</Paragraphs>
  <TotalTime>9</TotalTime>
  <ScaleCrop>false</ScaleCrop>
  <LinksUpToDate>false</LinksUpToDate>
  <CharactersWithSpaces>8636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Administrator</cp:lastModifiedBy>
  <dcterms:modified xsi:type="dcterms:W3CDTF">2020-09-30T03:59:06Z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