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sz w:val="84"/>
          <w:szCs w:val="84"/>
        </w:rPr>
      </w:pPr>
      <w:r>
        <w:rPr>
          <w:rFonts w:hint="eastAsia"/>
          <w:sz w:val="84"/>
          <w:szCs w:val="84"/>
        </w:rPr>
        <w:t>2019年度</w:t>
      </w:r>
    </w:p>
    <w:p>
      <w:pPr>
        <w:pStyle w:val="12"/>
        <w:jc w:val="center"/>
        <w:rPr>
          <w:sz w:val="84"/>
          <w:szCs w:val="84"/>
        </w:rPr>
      </w:pPr>
      <w:r>
        <w:rPr>
          <w:rFonts w:hint="eastAsia"/>
          <w:sz w:val="84"/>
          <w:szCs w:val="84"/>
          <w:lang w:eastAsia="zh-CN"/>
        </w:rPr>
        <w:t>益阳市大码头街道办事处</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rPr>
          <w:sz w:val="36"/>
          <w:szCs w:val="36"/>
        </w:rPr>
      </w:pPr>
    </w:p>
    <w:p>
      <w:pPr>
        <w:rPr>
          <w:sz w:val="36"/>
          <w:szCs w:val="36"/>
        </w:rPr>
      </w:pPr>
    </w:p>
    <w:p>
      <w:pPr>
        <w:pStyle w:val="12"/>
        <w:spacing w:line="520" w:lineRule="exact"/>
        <w:jc w:val="center"/>
        <w:rPr>
          <w:sz w:val="56"/>
          <w:szCs w:val="56"/>
        </w:rPr>
      </w:pPr>
      <w:r>
        <w:rPr>
          <w:rFonts w:hint="eastAsia"/>
          <w:sz w:val="56"/>
          <w:szCs w:val="56"/>
        </w:rPr>
        <w:t>目录</w:t>
      </w:r>
    </w:p>
    <w:p>
      <w:pPr>
        <w:pStyle w:val="12"/>
        <w:spacing w:line="520" w:lineRule="exact"/>
        <w:outlineLvl w:val="0"/>
        <w:rPr>
          <w:rFonts w:ascii="仿宋_GB2312" w:hAnsi="仿宋_GB2312" w:cs="仿宋_GB2312"/>
          <w:b/>
          <w:sz w:val="28"/>
          <w:szCs w:val="28"/>
        </w:rPr>
      </w:pPr>
      <w:r>
        <w:rPr>
          <w:rFonts w:hint="eastAsia"/>
          <w:b/>
          <w:sz w:val="28"/>
          <w:szCs w:val="28"/>
        </w:rPr>
        <w:t>第一部分</w:t>
      </w:r>
      <w:r>
        <w:rPr>
          <w:rFonts w:hint="eastAsia"/>
          <w:b/>
          <w:sz w:val="28"/>
          <w:szCs w:val="28"/>
          <w:lang w:eastAsia="zh-CN"/>
        </w:rPr>
        <w:t>大码头街道办事处</w:t>
      </w:r>
      <w:r>
        <w:rPr>
          <w:rFonts w:hint="eastAsia"/>
          <w:b/>
          <w:sz w:val="28"/>
          <w:szCs w:val="28"/>
        </w:rPr>
        <w:t>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2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2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outlineLvl w:val="0"/>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outlineLvl w:val="0"/>
        <w:rPr>
          <w:sz w:val="72"/>
          <w:szCs w:val="72"/>
        </w:rPr>
      </w:pPr>
      <w:r>
        <w:rPr>
          <w:rFonts w:ascii="黑体" w:hAnsi="黑体" w:eastAsia="黑体" w:cs="黑体"/>
          <w:b/>
          <w:color w:val="000000"/>
          <w:kern w:val="0"/>
          <w:sz w:val="28"/>
          <w:szCs w:val="28"/>
        </w:rPr>
        <w:t>第五部分附件</w:t>
      </w:r>
    </w:p>
    <w:p>
      <w:pPr>
        <w:pStyle w:val="12"/>
        <w:jc w:val="left"/>
        <w:outlineLvl w:val="0"/>
        <w:rPr>
          <w:sz w:val="44"/>
          <w:szCs w:val="44"/>
        </w:rPr>
      </w:pPr>
      <w:r>
        <w:rPr>
          <w:rFonts w:hint="eastAsia"/>
          <w:sz w:val="44"/>
          <w:szCs w:val="44"/>
        </w:rPr>
        <w:t>第一部分</w:t>
      </w:r>
      <w:r>
        <w:rPr>
          <w:sz w:val="44"/>
          <w:szCs w:val="44"/>
        </w:rPr>
        <w:t xml:space="preserve"> </w:t>
      </w:r>
      <w:r>
        <w:rPr>
          <w:rFonts w:hint="eastAsia"/>
          <w:sz w:val="44"/>
          <w:szCs w:val="44"/>
          <w:lang w:eastAsia="zh-CN"/>
        </w:rPr>
        <w:t>大码头</w:t>
      </w:r>
      <w:r>
        <w:rPr>
          <w:rFonts w:hint="eastAsia"/>
          <w:sz w:val="44"/>
          <w:szCs w:val="44"/>
        </w:rPr>
        <w:t>街道办事处单位概况</w:t>
      </w:r>
    </w:p>
    <w:p>
      <w:pPr>
        <w:pStyle w:val="13"/>
        <w:numPr>
          <w:ilvl w:val="0"/>
          <w:numId w:val="1"/>
        </w:numPr>
        <w:ind w:firstLineChars="0"/>
        <w:jc w:val="left"/>
        <w:outlineLvl w:val="1"/>
        <w:rPr>
          <w:rFonts w:ascii="黑体" w:hAnsi="黑体" w:eastAsia="黑体"/>
          <w:sz w:val="32"/>
          <w:szCs w:val="32"/>
        </w:rPr>
      </w:pPr>
      <w:r>
        <w:rPr>
          <w:rFonts w:ascii="黑体" w:hAnsi="黑体" w:eastAsia="黑体"/>
          <w:sz w:val="32"/>
          <w:szCs w:val="32"/>
        </w:rPr>
        <w:t>部门职责</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指导、帮助社区居民委员会开展工作；</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 xml:space="preserve">发展街道经济，开展社区服务，兴办社会福利事业，做好社会保障、社会救助、防火救灾工作； </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 xml:space="preserve">维护老年人、末成年人、妇女、残疾人和归侨、侨眷、少数民族的合法权益； </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 xml:space="preserve">加强计划生育、人口、教育、文化、卫生、科普、体育等基础管理工作； </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 xml:space="preserve">组织实施社会治安综合治理规划，开展治安、保卫、人民调解和拥军优属工作，做好国防动员和兵役工作； </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参与检查、督促辖区内新建改建住宅和公共建筑、市政设施设施配套项目的落实、验收工作，协助有关部门对公共建筑、市政配套设施的使用进行管理监督；</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向区人民政府反映居民的意见和要求，办理群众来信来访；</w:t>
      </w:r>
    </w:p>
    <w:p>
      <w:pPr>
        <w:numPr>
          <w:ilvl w:val="0"/>
          <w:numId w:val="2"/>
        </w:numPr>
        <w:ind w:left="0" w:leftChars="0" w:firstLine="420" w:firstLineChars="0"/>
        <w:jc w:val="left"/>
        <w:rPr>
          <w:rFonts w:asciiTheme="minorEastAsia" w:hAnsiTheme="minorEastAsia"/>
          <w:sz w:val="32"/>
          <w:szCs w:val="32"/>
        </w:rPr>
      </w:pPr>
      <w:r>
        <w:rPr>
          <w:rFonts w:hint="eastAsia" w:asciiTheme="minorEastAsia" w:hAnsiTheme="minorEastAsia"/>
          <w:sz w:val="32"/>
          <w:szCs w:val="32"/>
        </w:rPr>
        <w:t>做好区人民政府交办的其他工作。</w:t>
      </w:r>
    </w:p>
    <w:p>
      <w:pPr>
        <w:numPr>
          <w:ilvl w:val="0"/>
          <w:numId w:val="0"/>
        </w:numPr>
        <w:ind w:left="420" w:leftChars="0"/>
        <w:jc w:val="left"/>
        <w:rPr>
          <w:rFonts w:asciiTheme="minorEastAsia" w:hAnsiTheme="minorEastAsia"/>
          <w:sz w:val="32"/>
          <w:szCs w:val="32"/>
        </w:rPr>
      </w:pPr>
    </w:p>
    <w:p>
      <w:pPr>
        <w:jc w:val="left"/>
        <w:rPr>
          <w:rFonts w:ascii="仿宋_GB2312" w:eastAsia="仿宋_GB2312" w:hAnsiTheme="minorEastAsia"/>
          <w:sz w:val="28"/>
          <w:szCs w:val="32"/>
        </w:rPr>
      </w:pPr>
    </w:p>
    <w:p>
      <w:pPr>
        <w:widowControl/>
        <w:spacing w:line="600" w:lineRule="exact"/>
        <w:outlineLvl w:val="1"/>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heme="minorEastAsia" w:hAnsiTheme="minorEastAsia"/>
          <w:bCs/>
          <w:kern w:val="0"/>
          <w:sz w:val="32"/>
          <w:szCs w:val="32"/>
        </w:rPr>
      </w:pPr>
      <w:r>
        <w:rPr>
          <w:rFonts w:hint="eastAsia" w:asciiTheme="minorEastAsia" w:hAnsiTheme="minorEastAsia"/>
          <w:bCs/>
          <w:kern w:val="0"/>
          <w:sz w:val="32"/>
          <w:szCs w:val="32"/>
        </w:rPr>
        <w:t>（一）内设机构设置。益阳市</w:t>
      </w:r>
      <w:r>
        <w:rPr>
          <w:rFonts w:hint="eastAsia" w:asciiTheme="minorEastAsia" w:hAnsiTheme="minorEastAsia"/>
          <w:bCs/>
          <w:kern w:val="0"/>
          <w:sz w:val="32"/>
          <w:szCs w:val="32"/>
          <w:lang w:eastAsia="zh-CN"/>
        </w:rPr>
        <w:t>大码头</w:t>
      </w:r>
      <w:r>
        <w:rPr>
          <w:rFonts w:hint="eastAsia" w:asciiTheme="minorEastAsia" w:hAnsiTheme="minorEastAsia"/>
          <w:bCs/>
          <w:kern w:val="0"/>
          <w:sz w:val="32"/>
          <w:szCs w:val="32"/>
        </w:rPr>
        <w:t>街道办事处内设机构包括：党政综合办公室；经济发展办公室；人口和计划生育办公室；社会治安综合治理办公室；爱国卫生办公室；财政所；民政所；人力资源和社会保障站；司法所共9个职能科室站所。</w:t>
      </w:r>
      <w:r>
        <w:rPr>
          <w:rFonts w:hint="eastAsia" w:asciiTheme="minorEastAsia" w:hAnsiTheme="minorEastAsia"/>
          <w:bCs/>
          <w:kern w:val="0"/>
          <w:sz w:val="32"/>
          <w:szCs w:val="32"/>
          <w:lang w:eastAsia="zh-CN"/>
        </w:rPr>
        <w:t>益阳市大码头</w:t>
      </w:r>
      <w:r>
        <w:rPr>
          <w:rFonts w:hint="eastAsia" w:asciiTheme="minorEastAsia" w:hAnsiTheme="minorEastAsia"/>
          <w:bCs/>
          <w:kern w:val="0"/>
          <w:sz w:val="32"/>
          <w:szCs w:val="32"/>
        </w:rPr>
        <w:t>街道办事处为一级部门决算单位，因此纳入201</w:t>
      </w:r>
      <w:r>
        <w:rPr>
          <w:rFonts w:hint="eastAsia" w:asciiTheme="minorEastAsia" w:hAnsiTheme="minorEastAsia"/>
          <w:bCs/>
          <w:kern w:val="0"/>
          <w:sz w:val="32"/>
          <w:szCs w:val="32"/>
          <w:lang w:val="en-US" w:eastAsia="zh-CN"/>
        </w:rPr>
        <w:t>9</w:t>
      </w:r>
      <w:r>
        <w:rPr>
          <w:rFonts w:hint="eastAsia" w:asciiTheme="minorEastAsia" w:hAnsiTheme="minorEastAsia"/>
          <w:bCs/>
          <w:kern w:val="0"/>
          <w:sz w:val="32"/>
          <w:szCs w:val="32"/>
        </w:rPr>
        <w:t>年部门决算编制范围的只有</w:t>
      </w:r>
      <w:r>
        <w:rPr>
          <w:rFonts w:hint="eastAsia" w:asciiTheme="minorEastAsia" w:hAnsiTheme="minorEastAsia"/>
          <w:bCs/>
          <w:kern w:val="0"/>
          <w:sz w:val="32"/>
          <w:szCs w:val="32"/>
          <w:lang w:eastAsia="zh-CN"/>
        </w:rPr>
        <w:t>益阳市大码头</w:t>
      </w:r>
      <w:r>
        <w:rPr>
          <w:rFonts w:hint="eastAsia" w:asciiTheme="minorEastAsia" w:hAnsiTheme="minorEastAsia"/>
          <w:bCs/>
          <w:kern w:val="0"/>
          <w:sz w:val="32"/>
          <w:szCs w:val="32"/>
        </w:rPr>
        <w:t>街道办事处本级。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益阳市大码头</w:t>
      </w:r>
      <w:r>
        <w:rPr>
          <w:rFonts w:hint="eastAsia" w:asciiTheme="minorEastAsia" w:hAnsiTheme="minorEastAsia"/>
          <w:bCs/>
          <w:kern w:val="0"/>
          <w:sz w:val="32"/>
          <w:szCs w:val="32"/>
        </w:rPr>
        <w:t>街道办事处</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益阳市大码头</w:t>
      </w:r>
      <w:r>
        <w:rPr>
          <w:rFonts w:hint="eastAsia" w:asciiTheme="minorEastAsia" w:hAnsiTheme="minorEastAsia"/>
          <w:bCs/>
          <w:kern w:val="0"/>
          <w:sz w:val="32"/>
          <w:szCs w:val="32"/>
        </w:rPr>
        <w:t>街道办事处单位部门决算。</w:t>
      </w:r>
    </w:p>
    <w:tbl>
      <w:tblPr>
        <w:tblStyle w:val="10"/>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714" w:type="dxa"/>
            <w:noWrap w:val="0"/>
            <w:vAlign w:val="top"/>
          </w:tcPr>
          <w:p>
            <w:pPr>
              <w:widowControl/>
              <w:spacing w:line="600" w:lineRule="exact"/>
              <w:jc w:val="center"/>
              <w:rPr>
                <w:rFonts w:hint="eastAsia" w:ascii="仿宋_GB2312" w:eastAsia="仿宋_GB2312"/>
                <w:b w:val="0"/>
                <w:bCs w:val="0"/>
                <w:kern w:val="0"/>
                <w:sz w:val="32"/>
                <w:szCs w:val="32"/>
                <w:vertAlign w:val="baseline"/>
                <w:lang w:eastAsia="zh-CN"/>
              </w:rPr>
            </w:pPr>
            <w:r>
              <w:rPr>
                <w:rFonts w:hint="eastAsia" w:ascii="仿宋_GB2312" w:eastAsia="仿宋_GB2312"/>
                <w:b w:val="0"/>
                <w:bCs w:val="0"/>
                <w:kern w:val="0"/>
                <w:sz w:val="32"/>
                <w:szCs w:val="32"/>
                <w:vertAlign w:val="baseline"/>
                <w:lang w:eastAsia="zh-CN"/>
              </w:rPr>
              <w:t>序号</w:t>
            </w:r>
          </w:p>
        </w:tc>
        <w:tc>
          <w:tcPr>
            <w:tcW w:w="4950" w:type="dxa"/>
            <w:noWrap w:val="0"/>
            <w:vAlign w:val="top"/>
          </w:tcPr>
          <w:p>
            <w:pPr>
              <w:widowControl/>
              <w:spacing w:line="600" w:lineRule="exact"/>
              <w:jc w:val="center"/>
              <w:rPr>
                <w:rFonts w:hint="eastAsia" w:ascii="仿宋_GB2312" w:eastAsia="仿宋_GB2312"/>
                <w:b w:val="0"/>
                <w:bCs w:val="0"/>
                <w:kern w:val="0"/>
                <w:sz w:val="32"/>
                <w:szCs w:val="32"/>
                <w:vertAlign w:val="baseline"/>
                <w:lang w:eastAsia="zh-CN"/>
              </w:rPr>
            </w:pPr>
            <w:r>
              <w:rPr>
                <w:rFonts w:hint="eastAsia" w:ascii="仿宋_GB2312" w:eastAsia="仿宋_GB2312"/>
                <w:b w:val="0"/>
                <w:bCs w:val="0"/>
                <w:kern w:val="0"/>
                <w:sz w:val="32"/>
                <w:szCs w:val="32"/>
                <w:vertAlign w:val="baseli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noWrap w:val="0"/>
            <w:vAlign w:val="top"/>
          </w:tcPr>
          <w:p>
            <w:pPr>
              <w:widowControl/>
              <w:spacing w:line="600" w:lineRule="exact"/>
              <w:jc w:val="center"/>
              <w:rPr>
                <w:rFonts w:hint="eastAsia" w:ascii="仿宋_GB2312" w:eastAsia="仿宋_GB2312"/>
                <w:b w:val="0"/>
                <w:bCs w:val="0"/>
                <w:kern w:val="0"/>
                <w:sz w:val="32"/>
                <w:szCs w:val="32"/>
                <w:vertAlign w:val="baseline"/>
                <w:lang w:val="en-US" w:eastAsia="zh-CN"/>
              </w:rPr>
            </w:pPr>
            <w:r>
              <w:rPr>
                <w:rFonts w:hint="eastAsia" w:ascii="仿宋_GB2312" w:eastAsia="仿宋_GB2312"/>
                <w:b w:val="0"/>
                <w:bCs w:val="0"/>
                <w:kern w:val="0"/>
                <w:sz w:val="32"/>
                <w:szCs w:val="32"/>
                <w:vertAlign w:val="baseline"/>
                <w:lang w:val="en-US" w:eastAsia="zh-CN"/>
              </w:rPr>
              <w:t>1</w:t>
            </w:r>
          </w:p>
        </w:tc>
        <w:tc>
          <w:tcPr>
            <w:tcW w:w="4950" w:type="dxa"/>
            <w:noWrap w:val="0"/>
            <w:vAlign w:val="top"/>
          </w:tcPr>
          <w:p>
            <w:pPr>
              <w:widowControl/>
              <w:spacing w:line="600" w:lineRule="exact"/>
              <w:jc w:val="center"/>
              <w:rPr>
                <w:rFonts w:hint="eastAsia" w:ascii="仿宋_GB2312" w:eastAsia="仿宋_GB2312"/>
                <w:b w:val="0"/>
                <w:bCs w:val="0"/>
                <w:kern w:val="0"/>
                <w:sz w:val="32"/>
                <w:szCs w:val="32"/>
                <w:vertAlign w:val="baseline"/>
                <w:lang w:eastAsia="zh-CN"/>
              </w:rPr>
            </w:pPr>
            <w:r>
              <w:rPr>
                <w:rFonts w:hint="eastAsia" w:asciiTheme="minorEastAsia" w:hAnsiTheme="minorEastAsia"/>
                <w:bCs/>
                <w:kern w:val="0"/>
                <w:sz w:val="32"/>
                <w:szCs w:val="32"/>
                <w:lang w:eastAsia="zh-CN"/>
              </w:rPr>
              <w:t>益阳市大码头</w:t>
            </w:r>
            <w:r>
              <w:rPr>
                <w:rFonts w:hint="eastAsia" w:ascii="仿宋_GB2312" w:eastAsia="仿宋_GB2312"/>
                <w:b w:val="0"/>
                <w:bCs w:val="0"/>
                <w:kern w:val="0"/>
                <w:sz w:val="32"/>
                <w:szCs w:val="32"/>
                <w:vertAlign w:val="baseline"/>
                <w:lang w:eastAsia="zh-CN"/>
              </w:rPr>
              <w:t>街道办事处</w:t>
            </w:r>
          </w:p>
        </w:tc>
      </w:tr>
    </w:tbl>
    <w:p>
      <w:pPr>
        <w:widowControl/>
        <w:spacing w:line="600" w:lineRule="exact"/>
        <w:rPr>
          <w:rFonts w:hint="eastAsia" w:asciiTheme="minorEastAsia" w:hAnsiTheme="minorEastAsia"/>
          <w:bCs/>
          <w:kern w:val="0"/>
          <w:sz w:val="32"/>
          <w:szCs w:val="32"/>
        </w:rPr>
      </w:pPr>
    </w:p>
    <w:p>
      <w:pPr>
        <w:widowControl/>
        <w:spacing w:line="600" w:lineRule="exact"/>
        <w:rPr>
          <w:rFonts w:asciiTheme="minorEastAsia" w:hAnsiTheme="minorEastAsia"/>
          <w:bCs/>
          <w:kern w:val="0"/>
          <w:sz w:val="32"/>
          <w:szCs w:val="32"/>
        </w:rPr>
      </w:pPr>
    </w:p>
    <w:p>
      <w:pPr>
        <w:pStyle w:val="12"/>
        <w:numPr>
          <w:ilvl w:val="0"/>
          <w:numId w:val="3"/>
        </w:numPr>
        <w:jc w:val="left"/>
        <w:outlineLvl w:val="0"/>
        <w:rPr>
          <w:rFonts w:hint="eastAsia"/>
          <w:sz w:val="44"/>
          <w:szCs w:val="44"/>
          <w:lang w:eastAsia="zh-CN"/>
        </w:rPr>
      </w:pPr>
      <w:r>
        <w:rPr>
          <w:rFonts w:hint="eastAsia"/>
          <w:sz w:val="44"/>
          <w:szCs w:val="44"/>
        </w:rPr>
        <w:t>部门决算表</w:t>
      </w:r>
      <w:r>
        <w:rPr>
          <w:rFonts w:hint="eastAsia"/>
          <w:sz w:val="44"/>
          <w:szCs w:val="44"/>
          <w:lang w:eastAsia="zh-CN"/>
        </w:rPr>
        <w:t>（</w:t>
      </w:r>
      <w:r>
        <w:rPr>
          <w:rFonts w:hint="eastAsia"/>
          <w:sz w:val="44"/>
          <w:szCs w:val="44"/>
          <w:lang w:val="en-US" w:eastAsia="zh-CN"/>
        </w:rPr>
        <w:t>见附表</w:t>
      </w:r>
      <w:r>
        <w:rPr>
          <w:rFonts w:hint="eastAsia"/>
          <w:sz w:val="44"/>
          <w:szCs w:val="44"/>
          <w:lang w:eastAsia="zh-CN"/>
        </w:rPr>
        <w:t>）</w:t>
      </w:r>
    </w:p>
    <w:p>
      <w:pPr>
        <w:ind w:firstLine="640" w:firstLineChars="200"/>
        <w:jc w:val="left"/>
        <w:rPr>
          <w:rFonts w:ascii="仿宋" w:hAnsi="仿宋" w:eastAsia="仿宋" w:cs="仿宋"/>
          <w:sz w:val="32"/>
        </w:rPr>
      </w:pPr>
      <w:r>
        <w:rPr>
          <w:rFonts w:ascii="仿宋" w:hAnsi="仿宋" w:eastAsia="仿宋" w:cs="仿宋"/>
          <w:sz w:val="32"/>
        </w:rPr>
        <w:t>表1：收入支出决算总表</w:t>
      </w:r>
    </w:p>
    <w:p>
      <w:pPr>
        <w:ind w:firstLine="640" w:firstLineChars="200"/>
        <w:jc w:val="left"/>
        <w:rPr>
          <w:rFonts w:ascii="仿宋" w:hAnsi="仿宋" w:eastAsia="仿宋" w:cs="仿宋"/>
          <w:sz w:val="32"/>
        </w:rPr>
      </w:pPr>
      <w:r>
        <w:rPr>
          <w:rFonts w:ascii="仿宋" w:hAnsi="仿宋" w:eastAsia="仿宋" w:cs="仿宋"/>
          <w:sz w:val="32"/>
        </w:rPr>
        <w:t>表2：收入决算表</w:t>
      </w:r>
    </w:p>
    <w:p>
      <w:pPr>
        <w:ind w:firstLine="640" w:firstLineChars="200"/>
        <w:jc w:val="left"/>
        <w:rPr>
          <w:rFonts w:ascii="仿宋" w:hAnsi="仿宋" w:eastAsia="仿宋" w:cs="仿宋"/>
          <w:sz w:val="32"/>
        </w:rPr>
      </w:pPr>
      <w:r>
        <w:rPr>
          <w:rFonts w:ascii="仿宋" w:hAnsi="仿宋" w:eastAsia="仿宋" w:cs="仿宋"/>
          <w:sz w:val="32"/>
        </w:rPr>
        <w:t>表3：支出决算表</w:t>
      </w:r>
    </w:p>
    <w:p>
      <w:pPr>
        <w:ind w:firstLine="640" w:firstLineChars="200"/>
        <w:jc w:val="left"/>
        <w:rPr>
          <w:rFonts w:ascii="仿宋" w:hAnsi="仿宋" w:eastAsia="仿宋" w:cs="仿宋"/>
          <w:sz w:val="32"/>
        </w:rPr>
      </w:pPr>
      <w:r>
        <w:rPr>
          <w:rFonts w:ascii="仿宋" w:hAnsi="仿宋" w:eastAsia="仿宋" w:cs="仿宋"/>
          <w:sz w:val="32"/>
        </w:rPr>
        <w:t>表4：财政拨款收入支出决算总表</w:t>
      </w:r>
    </w:p>
    <w:p>
      <w:pPr>
        <w:ind w:firstLine="640" w:firstLineChars="200"/>
        <w:jc w:val="left"/>
        <w:rPr>
          <w:rFonts w:ascii="仿宋" w:hAnsi="仿宋" w:eastAsia="仿宋" w:cs="仿宋"/>
          <w:sz w:val="32"/>
        </w:rPr>
      </w:pPr>
      <w:r>
        <w:rPr>
          <w:rFonts w:ascii="仿宋" w:hAnsi="仿宋" w:eastAsia="仿宋" w:cs="仿宋"/>
          <w:sz w:val="32"/>
        </w:rPr>
        <w:t>表5：一般公共预算财政拨款支出决算表</w:t>
      </w:r>
    </w:p>
    <w:p>
      <w:pPr>
        <w:ind w:firstLine="640" w:firstLineChars="200"/>
        <w:jc w:val="left"/>
        <w:rPr>
          <w:rFonts w:ascii="仿宋" w:hAnsi="仿宋" w:eastAsia="仿宋" w:cs="仿宋"/>
          <w:sz w:val="32"/>
        </w:rPr>
      </w:pPr>
      <w:r>
        <w:rPr>
          <w:rFonts w:ascii="仿宋" w:hAnsi="仿宋" w:eastAsia="仿宋" w:cs="仿宋"/>
          <w:sz w:val="32"/>
        </w:rPr>
        <w:t>表6：一般公共预算财政拨款基本支出决算表</w:t>
      </w:r>
    </w:p>
    <w:p>
      <w:pPr>
        <w:ind w:firstLine="640" w:firstLineChars="200"/>
        <w:jc w:val="left"/>
        <w:rPr>
          <w:rFonts w:ascii="仿宋" w:hAnsi="仿宋" w:eastAsia="仿宋" w:cs="仿宋"/>
          <w:sz w:val="32"/>
        </w:rPr>
      </w:pPr>
      <w:r>
        <w:rPr>
          <w:rFonts w:ascii="仿宋" w:hAnsi="仿宋" w:eastAsia="仿宋" w:cs="仿宋"/>
          <w:sz w:val="32"/>
        </w:rPr>
        <w:t>表7：</w:t>
      </w:r>
      <w:r>
        <w:rPr>
          <w:rFonts w:hint="eastAsia" w:ascii="仿宋" w:hAnsi="仿宋" w:eastAsia="仿宋" w:cs="仿宋"/>
          <w:sz w:val="32"/>
        </w:rPr>
        <w:t>“三公”经费公共预算财政拨款支出决算表</w:t>
      </w:r>
    </w:p>
    <w:p>
      <w:pPr>
        <w:ind w:firstLine="640" w:firstLineChars="200"/>
        <w:jc w:val="left"/>
        <w:rPr>
          <w:rFonts w:hint="eastAsia" w:ascii="仿宋_GB2312" w:eastAsia="仿宋_GB2312"/>
          <w:kern w:val="0"/>
          <w:sz w:val="32"/>
          <w:szCs w:val="32"/>
        </w:rPr>
      </w:pPr>
      <w:r>
        <w:rPr>
          <w:rFonts w:ascii="仿宋" w:hAnsi="仿宋" w:eastAsia="仿宋" w:cs="仿宋"/>
          <w:sz w:val="32"/>
        </w:rPr>
        <w:t>表8：</w:t>
      </w:r>
      <w:r>
        <w:rPr>
          <w:rFonts w:hint="eastAsia" w:ascii="仿宋" w:hAnsi="仿宋" w:eastAsia="仿宋" w:cs="仿宋"/>
          <w:sz w:val="32"/>
        </w:rPr>
        <w:t>政府性基金预算财政拨款支出决算表</w:t>
      </w:r>
    </w:p>
    <w:p>
      <w:pPr>
        <w:widowControl/>
        <w:ind w:firstLine="1267" w:firstLineChars="396"/>
        <w:rPr>
          <w:rFonts w:hint="eastAsia"/>
          <w:sz w:val="44"/>
          <w:szCs w:val="44"/>
          <w:lang w:eastAsia="zh-CN"/>
        </w:rPr>
      </w:pPr>
      <w:r>
        <w:rPr>
          <w:rFonts w:hint="eastAsia" w:ascii="仿宋_GB2312" w:eastAsia="仿宋_GB2312"/>
          <w:kern w:val="0"/>
          <w:sz w:val="32"/>
          <w:szCs w:val="32"/>
        </w:rPr>
        <w:t>（公开表格附后）</w:t>
      </w:r>
    </w:p>
    <w:p>
      <w:pPr>
        <w:pStyle w:val="12"/>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pPr>
        <w:pStyle w:val="12"/>
        <w:outlineLvl w:val="1"/>
        <w:rPr>
          <w:rFonts w:hAnsi="黑体"/>
          <w:b/>
          <w:color w:val="auto"/>
          <w:sz w:val="32"/>
          <w:szCs w:val="32"/>
        </w:rPr>
      </w:pPr>
      <w:r>
        <w:rPr>
          <w:rFonts w:hint="eastAsia" w:hAnsi="黑体"/>
          <w:b/>
          <w:color w:val="auto"/>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2019年度收、支总计</w:t>
      </w:r>
      <w:r>
        <w:rPr>
          <w:rFonts w:hint="eastAsia" w:asciiTheme="minorEastAsia" w:hAnsiTheme="minorEastAsia" w:eastAsiaTheme="minorEastAsia"/>
          <w:sz w:val="32"/>
          <w:szCs w:val="32"/>
          <w:lang w:val="en-US" w:eastAsia="zh-CN"/>
        </w:rPr>
        <w:t>1545.74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与2018年相比，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84.45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增加了社区经费</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1545.74</w:t>
      </w:r>
      <w:r>
        <w:rPr>
          <w:rFonts w:hint="eastAsia" w:asciiTheme="minorEastAsia" w:hAnsiTheme="minorEastAsia" w:eastAsiaTheme="minorEastAsia"/>
          <w:sz w:val="32"/>
          <w:szCs w:val="32"/>
        </w:rPr>
        <w:t>万元，其中：财政拨款收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lang w:val="en-US" w:eastAsia="zh-CN"/>
        </w:rPr>
        <w:t>1321.87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85.52</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208.07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13.46</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1385.16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856.49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61.83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528.67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38.17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四、财政拨款收入支出决算总体情况说明</w:t>
      </w:r>
    </w:p>
    <w:p>
      <w:pPr>
        <w:pStyle w:val="1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2019年度财政拨款收、支总计</w:t>
      </w:r>
      <w:r>
        <w:rPr>
          <w:rFonts w:hint="eastAsia" w:asciiTheme="minorEastAsia" w:hAnsiTheme="minorEastAsia" w:eastAsiaTheme="minorEastAsia"/>
          <w:sz w:val="32"/>
          <w:szCs w:val="32"/>
          <w:lang w:val="en-US" w:eastAsia="zh-CN"/>
        </w:rPr>
        <w:t>1327.87</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273.25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25.97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增加政府性基金预算财政拨款、社区经费等。</w:t>
      </w:r>
    </w:p>
    <w:p>
      <w:pPr>
        <w:pStyle w:val="12"/>
        <w:numPr>
          <w:ilvl w:val="0"/>
          <w:numId w:val="4"/>
        </w:numPr>
        <w:outlineLvl w:val="1"/>
        <w:rPr>
          <w:rFonts w:hint="eastAsia" w:hAnsi="黑体"/>
          <w:b/>
          <w:sz w:val="32"/>
          <w:szCs w:val="32"/>
        </w:rPr>
      </w:pPr>
      <w:r>
        <w:rPr>
          <w:rFonts w:hint="eastAsia" w:hAnsi="黑体"/>
          <w:b/>
          <w:sz w:val="32"/>
          <w:szCs w:val="32"/>
        </w:rPr>
        <w:t>一般公共预算财政拨款支出决算情况说明</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 xml:space="preserve"> 1177.08 </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84.98</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122.96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11.67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政府性基金财政拨款支出增加。</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1177.08</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307.86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26.29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55.00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46.97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481.72万元，占41.13%；卫生健康支出119.65万元，占比10.22%；城乡社区支出148.50万元，占比12.67%；农林水支出32.11万元，占比27.42%；住房保障支出26.25万元，占比2.24%；灾害防治及其他支出6.00万元，占比0.51%。</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673.72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1171</w:t>
      </w:r>
      <w:bookmarkStart w:id="0" w:name="_GoBack"/>
      <w:bookmarkEnd w:id="0"/>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174.71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1、2010199其他人大事务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2、2010299其他政协事务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3、2010301行政运行。</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年初预算为146.36万元，支出决算为170.03万元，完成年初预算的116%，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实际行政运行经费增加。</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4、2010302一般行政管理事务。</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年初预算为49.5万元，支出决算为36.11万元，完成年初预算的72.95%</w:t>
      </w:r>
      <w:r>
        <w:rPr>
          <w:rFonts w:hint="eastAsia" w:asciiTheme="minorEastAsia" w:hAnsiTheme="minorEastAsia" w:eastAsiaTheme="minorEastAsia"/>
          <w:sz w:val="32"/>
          <w:szCs w:val="32"/>
          <w:lang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5、2010308信访事务。</w:t>
      </w:r>
    </w:p>
    <w:p>
      <w:pPr>
        <w:pStyle w:val="12"/>
        <w:ind w:firstLine="800" w:firstLineChars="250"/>
        <w:rPr>
          <w:rFonts w:hint="eastAsia"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年初预算为</w:t>
      </w:r>
      <w:r>
        <w:rPr>
          <w:rFonts w:hint="eastAsia" w:asciiTheme="minorEastAsia" w:hAnsiTheme="minorEastAsia" w:eastAsiaTheme="minorEastAsia"/>
          <w:sz w:val="32"/>
          <w:szCs w:val="32"/>
          <w:lang w:val="en-US" w:eastAsia="zh-CN"/>
        </w:rPr>
        <w:t>0</w:t>
      </w:r>
      <w:r>
        <w:rPr>
          <w:rFonts w:hint="default" w:asciiTheme="minorEastAsia" w:hAnsiTheme="minorEastAsia" w:eastAsiaTheme="minorEastAsia"/>
          <w:sz w:val="32"/>
          <w:szCs w:val="32"/>
          <w:lang w:val="en-US" w:eastAsia="zh-CN"/>
        </w:rPr>
        <w:t>万元，支出决算为</w:t>
      </w:r>
      <w:r>
        <w:rPr>
          <w:rFonts w:hint="eastAsia" w:asciiTheme="minorEastAsia" w:hAnsiTheme="minorEastAsia" w:eastAsiaTheme="minorEastAsia"/>
          <w:sz w:val="32"/>
          <w:szCs w:val="32"/>
          <w:lang w:val="en-US" w:eastAsia="zh-CN"/>
        </w:rPr>
        <w:t>1</w:t>
      </w:r>
      <w:r>
        <w:rPr>
          <w:rFonts w:hint="default" w:asciiTheme="minorEastAsia" w:hAnsiTheme="minorEastAsia" w:eastAsiaTheme="minorEastAsia"/>
          <w:sz w:val="32"/>
          <w:szCs w:val="32"/>
          <w:lang w:val="en-US" w:eastAsia="zh-CN"/>
        </w:rPr>
        <w:t>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6、2010601行政运行。</w:t>
      </w:r>
    </w:p>
    <w:p>
      <w:pPr>
        <w:pStyle w:val="12"/>
        <w:ind w:firstLine="800" w:firstLineChars="250"/>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年初预算为</w:t>
      </w:r>
      <w:r>
        <w:rPr>
          <w:rFonts w:hint="eastAsia" w:asciiTheme="minorEastAsia" w:hAnsiTheme="minorEastAsia" w:eastAsiaTheme="minorEastAsia"/>
          <w:sz w:val="32"/>
          <w:szCs w:val="32"/>
          <w:lang w:val="en-US" w:eastAsia="zh-CN"/>
        </w:rPr>
        <w:t>45.61</w:t>
      </w:r>
      <w:r>
        <w:rPr>
          <w:rFonts w:hint="default" w:asciiTheme="minorEastAsia" w:hAnsiTheme="minorEastAsia" w:eastAsiaTheme="minorEastAsia"/>
          <w:sz w:val="32"/>
          <w:szCs w:val="32"/>
          <w:lang w:val="en-US" w:eastAsia="zh-CN"/>
        </w:rPr>
        <w:t>万元，支出决算为</w:t>
      </w:r>
      <w:r>
        <w:rPr>
          <w:rFonts w:hint="eastAsia" w:asciiTheme="minorEastAsia" w:hAnsiTheme="minorEastAsia" w:eastAsiaTheme="minorEastAsia"/>
          <w:sz w:val="32"/>
          <w:szCs w:val="32"/>
          <w:lang w:val="en-US" w:eastAsia="zh-CN"/>
        </w:rPr>
        <w:t>45.61</w:t>
      </w:r>
      <w:r>
        <w:rPr>
          <w:rFonts w:hint="default" w:asciiTheme="minorEastAsia" w:hAnsiTheme="minorEastAsia" w:eastAsiaTheme="minorEastAsia"/>
          <w:sz w:val="32"/>
          <w:szCs w:val="32"/>
          <w:lang w:val="en-US" w:eastAsia="zh-CN"/>
        </w:rPr>
        <w:t>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7、2010602一般行政管理事务。</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年初预算为0万元，支出决算为5万元，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8、2012399其他民族事务支出。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年初预算为0万元，支出决算为0.58万元，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9、2012999其他群众团体事务支出。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年初预算为2万元，支出决算为2万元，完成年初预算的100%。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10、2010399其他政府办公厅（室)及相关机构事务支出。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年初预算为0万元，支出决算为33.72万元，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11、2013202一般行政管理事务。</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年初预算为0万元，支出决算为5万元，决算数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lang w:val="en-US" w:eastAsia="zh-CN"/>
        </w:rPr>
        <w:t>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12、2019999其他一般公共服务支出。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年初预算为0万元，支出决算为5.6万元，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left="638" w:leftChars="304" w:firstLine="160" w:firstLineChars="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13、2070109群众文化。</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年初预算为1万元，支出决算为1万元，完成年初预算的100%。</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14、2070199其他文化和旅游支出。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年初预算为0万元，支出决算为4万元，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15、2079999其他文化体育与传媒支出。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年初预算为0万元，支出决算为50万元，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16、2080208基层政权和社区建设。</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年初预算为132.2万元，支出决算为275.35万元，完成年初预算的208.28%，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实际社区经费增加</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17、2080505机关事业单位基本养老保险缴费支出。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年初预算为43.75万元，支出决算为43.75万元，完成年初预算的100%。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18、2080799其他就业补助支出。</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年初预算0万元，支出决算134.12万元，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19、2080801死亡抚恤</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年初预算为0万元，支出决算为28.50万元，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20、2100799其他计划生育事务支出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年初预算为62.49万元，支出决算为62.49万元，完成年初预算的100%。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21、2101101行政单位医疗。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年初预算为43.21万元，支出决算为43.21万元，完成年初预算的100%。</w:t>
      </w:r>
    </w:p>
    <w:p>
      <w:pPr>
        <w:pStyle w:val="12"/>
        <w:ind w:firstLine="800" w:firstLineChars="250"/>
        <w:rPr>
          <w:rFonts w:hint="eastAsia" w:asciiTheme="minorEastAsia" w:hAnsiTheme="minorEastAsia" w:eastAsiaTheme="minorEastAsia"/>
          <w:sz w:val="32"/>
          <w:szCs w:val="32"/>
          <w:lang w:val="en-US" w:eastAsia="zh-CN"/>
        </w:rPr>
      </w:pP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22、2101102事业单位医疗。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年初预算为3.88万元，支出决算为10.88万元，完成年初预算的280.41%</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事业单位医疗实际开支增加</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23、2101299财政对基本医疗保险基金的补助。</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年初预算为0万元，支出决算为1万元，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24、2109901其他卫生健康支出。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年初预算为2.16万元，支出决算为2.07万元，完成年初预算的95.8%，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实际其他卫生健康支出减少</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25、2120199其他城乡社区管理事务支出。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年初预算为81万元，支出决算为89.10万元，完成年初预算的110%，决算数大于年初预算数的主要原因是：实际其他城乡社区管理事务支出增加。</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26、2129901其他城乡社区支出。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年初预算为0万元，支出决算为59.4万元，决算数大于年初预算数的主要原因是：此项资金无年初预算。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27、2130199其他农业支出。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年初预算为31.11万元，支出决算为24.11万元，完成年初预算的77.5%，决算数小于年初预算数的主要原因是：实际其他农业支出减少。</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28、2130705对村民委员会和村党支部的补助。</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年初预算为0万元，支出决算为8万元，决算数小于年初预算数的主要原因是：此项资金无年初预算。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29、2210201住房公积金。</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年初预算为26.25万元，支出决算26.25万元，完成年初预算的100%。</w:t>
      </w:r>
    </w:p>
    <w:p>
      <w:pPr>
        <w:pStyle w:val="12"/>
        <w:ind w:firstLine="800" w:firstLineChars="250"/>
        <w:rPr>
          <w:rFonts w:asciiTheme="minorEastAsia" w:hAnsiTheme="minorEastAsia" w:eastAsiaTheme="minorEastAsia"/>
          <w:sz w:val="32"/>
          <w:szCs w:val="32"/>
          <w:highlight w:val="yellow"/>
        </w:rPr>
      </w:pPr>
    </w:p>
    <w:p>
      <w:pPr>
        <w:pStyle w:val="12"/>
        <w:outlineLvl w:val="1"/>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642.42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517.45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80.55</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124.97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19.45</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水电</w:t>
      </w:r>
      <w:r>
        <w:rPr>
          <w:rFonts w:hint="eastAsia" w:asciiTheme="minorEastAsia" w:hAnsiTheme="minorEastAsia" w:eastAsiaTheme="minorEastAsia"/>
          <w:sz w:val="32"/>
          <w:szCs w:val="32"/>
        </w:rPr>
        <w:t>费、手续费</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七、一般公共预算财政拨款三公经费支出决算情况说明</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此项无预算，</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无增减变化</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无增减变化</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此项无预算，</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无增减变化</w:t>
      </w:r>
      <w:r>
        <w:rPr>
          <w:rFonts w:hint="eastAsia" w:asciiTheme="minorEastAsia" w:hAnsiTheme="minorEastAsia" w:eastAsiaTheme="minorEastAsia"/>
          <w:sz w:val="32"/>
          <w:szCs w:val="32"/>
        </w:rPr>
        <w:t>。</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接待上级部门检查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益阳市汽车路街道办事处</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万元，截止2019年12月31日，我单位开支财政拨款的公务用车保有量为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outlineLvl w:val="1"/>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2019年度政府性基金预算财政拨款收入</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outlineLvl w:val="1"/>
        <w:rPr>
          <w:rFonts w:hAnsi="黑体"/>
          <w:b/>
          <w:color w:val="auto"/>
          <w:sz w:val="32"/>
          <w:szCs w:val="32"/>
        </w:rPr>
      </w:pPr>
      <w:r>
        <w:rPr>
          <w:rFonts w:hint="eastAsia" w:hAnsi="黑体"/>
          <w:b/>
          <w:color w:val="auto"/>
          <w:sz w:val="32"/>
          <w:szCs w:val="32"/>
        </w:rPr>
        <w:t>九、关于2019年度预算绩效情况说明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年度已对部门预算整体支出进行了绩效评价，根据部门整体支出绩效评价指标确定的内容，我单位201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年度整体支出绩效良好。</w:t>
      </w:r>
    </w:p>
    <w:p>
      <w:pPr>
        <w:pStyle w:val="12"/>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124.97</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91.38</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272</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eastAsia="zh-CN"/>
        </w:rPr>
        <w:t>机关运行劳务费、维修费增加。</w:t>
      </w:r>
    </w:p>
    <w:p>
      <w:pPr>
        <w:ind w:firstLine="643" w:firstLineChars="200"/>
        <w:outlineLvl w:val="2"/>
        <w:rPr>
          <w:rFonts w:hint="eastAsia" w:cs="黑体" w:asciiTheme="minorEastAsia" w:hAnsiTheme="minorEastAsia"/>
          <w:b/>
          <w:color w:val="auto"/>
          <w:kern w:val="0"/>
          <w:sz w:val="32"/>
          <w:szCs w:val="32"/>
        </w:rPr>
      </w:pPr>
      <w:r>
        <w:rPr>
          <w:rFonts w:hint="eastAsia" w:cs="黑体" w:asciiTheme="minorEastAsia" w:hAnsiTheme="minorEastAsia"/>
          <w:b/>
          <w:color w:val="auto"/>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辆，其他用车主要是……；单位价值50万元以上通用设备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rPr>
          <w:rFonts w:hint="eastAsia" w:cs="黑体" w:asciiTheme="minorEastAsia" w:hAnsiTheme="minorEastAsia"/>
          <w:color w:val="000000"/>
          <w:kern w:val="0"/>
          <w:sz w:val="32"/>
          <w:szCs w:val="32"/>
        </w:rPr>
      </w:pPr>
    </w:p>
    <w:p>
      <w:pPr>
        <w:ind w:firstLine="640" w:firstLineChars="200"/>
        <w:rPr>
          <w:rFonts w:hint="eastAsia" w:cs="黑体" w:asciiTheme="minorEastAsia" w:hAnsiTheme="minorEastAsia"/>
          <w:color w:val="000000"/>
          <w:kern w:val="0"/>
          <w:sz w:val="32"/>
          <w:szCs w:val="32"/>
        </w:rPr>
      </w:pPr>
    </w:p>
    <w:p>
      <w:pPr>
        <w:pStyle w:val="12"/>
        <w:jc w:val="both"/>
        <w:outlineLvl w:val="0"/>
        <w:rPr>
          <w:rFonts w:ascii="黑体" w:eastAsia="黑体" w:cs="黑体"/>
          <w:color w:val="000000"/>
          <w:kern w:val="0"/>
          <w:sz w:val="44"/>
          <w:szCs w:val="44"/>
        </w:rPr>
      </w:pPr>
      <w:r>
        <w:rPr>
          <w:rFonts w:hint="eastAsia"/>
          <w:sz w:val="44"/>
          <w:szCs w:val="44"/>
        </w:rPr>
        <w:t>第四部分</w:t>
      </w:r>
      <w:r>
        <w:rPr>
          <w:rFonts w:hint="eastAsia" w:ascii="黑体" w:eastAsia="黑体" w:cs="黑体"/>
          <w:color w:val="000000"/>
          <w:kern w:val="0"/>
          <w:sz w:val="44"/>
          <w:szCs w:val="44"/>
        </w:rPr>
        <w:t>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pStyle w:val="12"/>
        <w:jc w:val="both"/>
        <w:outlineLvl w:val="0"/>
        <w:rPr>
          <w:rFonts w:hint="default"/>
          <w:sz w:val="44"/>
          <w:szCs w:val="44"/>
        </w:rPr>
      </w:pPr>
      <w:r>
        <w:rPr>
          <w:rFonts w:hint="eastAsia"/>
          <w:sz w:val="44"/>
          <w:szCs w:val="44"/>
        </w:rPr>
        <w:t>第五部分 附件</w:t>
      </w:r>
    </w:p>
    <w:p>
      <w:pPr>
        <w:widowControl/>
        <w:ind w:firstLine="640" w:firstLineChars="200"/>
        <w:jc w:val="left"/>
        <w:rPr>
          <w:rFonts w:hint="eastAsia" w:ascii="黑体" w:eastAsia="黑体" w:cs="黑体"/>
          <w:color w:val="000000"/>
          <w:kern w:val="0"/>
          <w:sz w:val="70"/>
          <w:szCs w:val="70"/>
          <w:lang w:eastAsia="zh-CN"/>
        </w:rPr>
      </w:pPr>
      <w:r>
        <w:rPr>
          <w:rFonts w:hint="eastAsia" w:ascii="仿宋" w:hAnsi="仿宋" w:eastAsia="仿宋"/>
          <w:sz w:val="32"/>
          <w:highlight w:val="white"/>
        </w:rPr>
        <w:t>益阳市</w:t>
      </w:r>
      <w:r>
        <w:rPr>
          <w:rFonts w:hint="eastAsia" w:ascii="仿宋" w:hAnsi="仿宋" w:eastAsia="仿宋"/>
          <w:sz w:val="32"/>
          <w:highlight w:val="white"/>
          <w:lang w:eastAsia="zh-CN"/>
        </w:rPr>
        <w:t>大码头</w:t>
      </w:r>
      <w:r>
        <w:rPr>
          <w:rFonts w:hint="eastAsia" w:ascii="仿宋" w:hAnsi="仿宋" w:eastAsia="仿宋"/>
          <w:sz w:val="32"/>
          <w:highlight w:val="white"/>
        </w:rPr>
        <w:t>街道办事处2019年部门决算公开附表</w:t>
      </w:r>
    </w:p>
    <w:p>
      <w:pPr>
        <w:pStyle w:val="12"/>
        <w:numPr>
          <w:ilvl w:val="0"/>
          <w:numId w:val="0"/>
        </w:numPr>
        <w:jc w:val="left"/>
        <w:rPr>
          <w:rFonts w:hint="eastAsia"/>
          <w:sz w:val="44"/>
          <w:szCs w:val="44"/>
          <w:lang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A513EC8E"/>
    <w:multiLevelType w:val="singleLevel"/>
    <w:tmpl w:val="A513EC8E"/>
    <w:lvl w:ilvl="0" w:tentative="0">
      <w:start w:val="1"/>
      <w:numFmt w:val="chineseCounting"/>
      <w:suff w:val="nothing"/>
      <w:lvlText w:val="（%1）"/>
      <w:lvlJc w:val="left"/>
      <w:pPr>
        <w:ind w:left="0" w:firstLine="420"/>
      </w:pPr>
      <w:rPr>
        <w:rFonts w:hint="eastAsia"/>
      </w:rPr>
    </w:lvl>
  </w:abstractNum>
  <w:abstractNum w:abstractNumId="2">
    <w:nsid w:val="FDEF3585"/>
    <w:multiLevelType w:val="singleLevel"/>
    <w:tmpl w:val="FDEF3585"/>
    <w:lvl w:ilvl="0" w:tentative="0">
      <w:start w:val="5"/>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0091228"/>
    <w:rsid w:val="036E123C"/>
    <w:rsid w:val="04F233F6"/>
    <w:rsid w:val="068431CF"/>
    <w:rsid w:val="08447A63"/>
    <w:rsid w:val="08864F04"/>
    <w:rsid w:val="0C747FDC"/>
    <w:rsid w:val="0D137CB2"/>
    <w:rsid w:val="0F6E1C2B"/>
    <w:rsid w:val="0FD71C50"/>
    <w:rsid w:val="0FFB4365"/>
    <w:rsid w:val="11946775"/>
    <w:rsid w:val="12831B1C"/>
    <w:rsid w:val="1382708C"/>
    <w:rsid w:val="175B7E50"/>
    <w:rsid w:val="187708EA"/>
    <w:rsid w:val="1AF376DE"/>
    <w:rsid w:val="1C1E3030"/>
    <w:rsid w:val="1C613F39"/>
    <w:rsid w:val="206D6EE3"/>
    <w:rsid w:val="209A2830"/>
    <w:rsid w:val="22F471A3"/>
    <w:rsid w:val="22FA2CCD"/>
    <w:rsid w:val="23C13C88"/>
    <w:rsid w:val="25D67E0F"/>
    <w:rsid w:val="266468C4"/>
    <w:rsid w:val="27373FE5"/>
    <w:rsid w:val="28F02473"/>
    <w:rsid w:val="330424AA"/>
    <w:rsid w:val="330B6F7C"/>
    <w:rsid w:val="337639E6"/>
    <w:rsid w:val="33D37575"/>
    <w:rsid w:val="33D533EE"/>
    <w:rsid w:val="35057D4D"/>
    <w:rsid w:val="357D7D98"/>
    <w:rsid w:val="358766AE"/>
    <w:rsid w:val="35E83385"/>
    <w:rsid w:val="36313B69"/>
    <w:rsid w:val="387D6A15"/>
    <w:rsid w:val="3A804E10"/>
    <w:rsid w:val="3BB8382A"/>
    <w:rsid w:val="3C0664E7"/>
    <w:rsid w:val="3CF507C5"/>
    <w:rsid w:val="3DBA0D54"/>
    <w:rsid w:val="3F1A6AFF"/>
    <w:rsid w:val="409E772C"/>
    <w:rsid w:val="41230B14"/>
    <w:rsid w:val="41532D00"/>
    <w:rsid w:val="415356CE"/>
    <w:rsid w:val="421B1458"/>
    <w:rsid w:val="42A81E6F"/>
    <w:rsid w:val="42B803EB"/>
    <w:rsid w:val="43967D53"/>
    <w:rsid w:val="43B712DF"/>
    <w:rsid w:val="44483E29"/>
    <w:rsid w:val="45B760D7"/>
    <w:rsid w:val="45C73570"/>
    <w:rsid w:val="45F40926"/>
    <w:rsid w:val="47922311"/>
    <w:rsid w:val="49100321"/>
    <w:rsid w:val="49FA46AA"/>
    <w:rsid w:val="4B34197B"/>
    <w:rsid w:val="4BE01B2A"/>
    <w:rsid w:val="4DAA03A2"/>
    <w:rsid w:val="4E646EC4"/>
    <w:rsid w:val="4F784BC7"/>
    <w:rsid w:val="51194F31"/>
    <w:rsid w:val="59F23A63"/>
    <w:rsid w:val="5A830D09"/>
    <w:rsid w:val="5AE11096"/>
    <w:rsid w:val="5B0252D9"/>
    <w:rsid w:val="5DF86D86"/>
    <w:rsid w:val="5EA430AE"/>
    <w:rsid w:val="5F020277"/>
    <w:rsid w:val="61976058"/>
    <w:rsid w:val="61AB785F"/>
    <w:rsid w:val="662B32DA"/>
    <w:rsid w:val="68396B7B"/>
    <w:rsid w:val="69E50051"/>
    <w:rsid w:val="70011AB8"/>
    <w:rsid w:val="718215DC"/>
    <w:rsid w:val="749261B6"/>
    <w:rsid w:val="77931FE8"/>
    <w:rsid w:val="79037E07"/>
    <w:rsid w:val="79496143"/>
    <w:rsid w:val="7B765E53"/>
    <w:rsid w:val="7C434E33"/>
    <w:rsid w:val="7D170A9A"/>
    <w:rsid w:val="7D88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cstheme="minorBidi"/>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880" w:firstLineChars="200"/>
      <w:outlineLvl w:val="2"/>
    </w:pPr>
    <w:rPr>
      <w:rFonts w:eastAsia="黑体"/>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黑体"/>
    </w:rPr>
  </w:style>
  <w:style w:type="paragraph" w:styleId="6">
    <w:name w:val="heading 5"/>
    <w:basedOn w:val="1"/>
    <w:next w:val="1"/>
    <w:semiHidden/>
    <w:unhideWhenUsed/>
    <w:qFormat/>
    <w:uiPriority w:val="0"/>
    <w:pPr>
      <w:keepNext/>
      <w:keepLines/>
      <w:spacing w:beforeLines="0" w:beforeAutospacing="0" w:afterLines="0" w:afterAutospacing="0" w:line="240" w:lineRule="auto"/>
      <w:ind w:firstLine="0" w:firstLineChars="0"/>
      <w:outlineLvl w:val="4"/>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Administrator</cp:lastModifiedBy>
  <dcterms:modified xsi:type="dcterms:W3CDTF">2020-09-30T06:56:03Z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