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84"/>
        </w:rPr>
      </w:pPr>
    </w:p>
    <w:p>
      <w:pPr>
        <w:wordWrap w:val="0"/>
        <w:adjustRightInd w:val="0"/>
        <w:snapToGrid w:val="0"/>
        <w:spacing w:line="312" w:lineRule="auto"/>
        <w:jc w:val="center"/>
        <w:rPr>
          <w:rFonts w:ascii="宋体" w:hAnsi="宋体"/>
          <w:b/>
          <w:bCs/>
          <w:sz w:val="32"/>
          <w:szCs w:val="32"/>
        </w:rPr>
      </w:pPr>
      <w:r>
        <w:rPr>
          <w:rFonts w:hint="eastAsia" w:ascii="宋体" w:hAnsi="宋体"/>
          <w:b/>
          <w:bCs/>
          <w:sz w:val="32"/>
        </w:rPr>
        <w:t xml:space="preserve">                             </w:t>
      </w:r>
      <w:r>
        <w:rPr>
          <w:rFonts w:hint="eastAsia" w:ascii="宋体" w:hAnsi="宋体"/>
          <w:b/>
          <w:bCs/>
          <w:color w:val="000000"/>
          <w:sz w:val="32"/>
          <w:szCs w:val="32"/>
        </w:rPr>
        <w:t xml:space="preserve">    编号：</w:t>
      </w:r>
      <w:r>
        <w:rPr>
          <w:rFonts w:hint="eastAsia" w:ascii="宋体" w:hAnsi="宋体"/>
          <w:b/>
          <w:sz w:val="32"/>
          <w:szCs w:val="32"/>
        </w:rPr>
        <w:t>202000016</w:t>
      </w:r>
    </w:p>
    <w:p>
      <w:pPr>
        <w:rPr>
          <w:b/>
          <w:sz w:val="72"/>
          <w:szCs w:val="72"/>
        </w:rPr>
      </w:pPr>
    </w:p>
    <w:p>
      <w:pPr>
        <w:rPr>
          <w:b/>
          <w:sz w:val="72"/>
          <w:szCs w:val="72"/>
        </w:rPr>
      </w:pPr>
    </w:p>
    <w:p>
      <w:pPr>
        <w:jc w:val="center"/>
        <w:rPr>
          <w:b/>
          <w:spacing w:val="-20"/>
          <w:kern w:val="11"/>
          <w:sz w:val="48"/>
          <w:szCs w:val="48"/>
        </w:rPr>
      </w:pPr>
      <w:r>
        <w:rPr>
          <w:rFonts w:hint="eastAsia"/>
          <w:b/>
          <w:spacing w:val="-20"/>
          <w:kern w:val="11"/>
          <w:sz w:val="48"/>
          <w:szCs w:val="48"/>
        </w:rPr>
        <w:t>益阳市公安局资阳分局</w:t>
      </w:r>
    </w:p>
    <w:p>
      <w:pPr>
        <w:jc w:val="center"/>
        <w:rPr>
          <w:b/>
          <w:spacing w:val="-20"/>
          <w:kern w:val="11"/>
          <w:sz w:val="48"/>
          <w:szCs w:val="48"/>
        </w:rPr>
      </w:pPr>
      <w:r>
        <w:rPr>
          <w:rFonts w:hint="eastAsia"/>
          <w:b/>
          <w:spacing w:val="-20"/>
          <w:kern w:val="11"/>
          <w:sz w:val="48"/>
          <w:szCs w:val="48"/>
        </w:rPr>
        <w:t>车辆拍卖信息</w:t>
      </w:r>
      <w:r>
        <w:rPr>
          <w:rFonts w:hint="eastAsia"/>
          <w:b/>
          <w:spacing w:val="-20"/>
          <w:sz w:val="48"/>
          <w:szCs w:val="48"/>
        </w:rPr>
        <w:t>发布申请书</w:t>
      </w:r>
    </w:p>
    <w:p>
      <w:pPr>
        <w:jc w:val="center"/>
        <w:rPr>
          <w:rFonts w:ascii="宋体" w:hAnsi="宋体"/>
          <w:b/>
          <w:bCs/>
          <w:sz w:val="32"/>
        </w:rPr>
      </w:pPr>
    </w:p>
    <w:p>
      <w:pPr>
        <w:rPr>
          <w:rFonts w:ascii="宋体" w:hAnsi="宋体"/>
          <w:b/>
          <w:bCs/>
          <w:sz w:val="44"/>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adjustRightInd w:val="0"/>
        <w:snapToGrid w:val="0"/>
        <w:spacing w:after="120" w:line="500" w:lineRule="exact"/>
        <w:jc w:val="center"/>
        <w:rPr>
          <w:rFonts w:ascii="宋体" w:hAnsi="宋体"/>
          <w:b/>
          <w:sz w:val="32"/>
        </w:rPr>
      </w:pPr>
    </w:p>
    <w:p>
      <w:pPr>
        <w:jc w:val="center"/>
        <w:rPr>
          <w:rFonts w:ascii="宋体" w:hAnsi="宋体"/>
          <w:b/>
          <w:sz w:val="36"/>
          <w:szCs w:val="36"/>
        </w:rPr>
      </w:pPr>
    </w:p>
    <w:p>
      <w:pPr>
        <w:jc w:val="center"/>
        <w:rPr>
          <w:rFonts w:ascii="宋体" w:hAnsi="宋体"/>
          <w:b/>
          <w:sz w:val="36"/>
          <w:szCs w:val="36"/>
        </w:rPr>
      </w:pPr>
    </w:p>
    <w:p>
      <w:pPr>
        <w:jc w:val="center"/>
        <w:rPr>
          <w:b/>
          <w:spacing w:val="-20"/>
          <w:kern w:val="11"/>
          <w:sz w:val="36"/>
          <w:szCs w:val="36"/>
        </w:rPr>
      </w:pPr>
    </w:p>
    <w:p>
      <w:pPr>
        <w:jc w:val="center"/>
        <w:rPr>
          <w:b/>
          <w:spacing w:val="-20"/>
          <w:kern w:val="11"/>
          <w:sz w:val="36"/>
          <w:szCs w:val="36"/>
        </w:rPr>
      </w:pPr>
      <w:r>
        <w:rPr>
          <w:rFonts w:hint="eastAsia"/>
          <w:b/>
          <w:spacing w:val="-20"/>
          <w:kern w:val="11"/>
          <w:sz w:val="36"/>
          <w:szCs w:val="36"/>
        </w:rPr>
        <w:t>益阳市公安局资阳分局车辆拍卖申请与承诺</w:t>
      </w:r>
    </w:p>
    <w:p>
      <w:pPr>
        <w:spacing w:line="400" w:lineRule="exact"/>
        <w:rPr>
          <w:rFonts w:ascii="宋体" w:hAnsi="宋体"/>
          <w:sz w:val="24"/>
          <w:szCs w:val="24"/>
        </w:rPr>
      </w:pPr>
    </w:p>
    <w:p>
      <w:pPr>
        <w:spacing w:line="460" w:lineRule="exact"/>
        <w:rPr>
          <w:rFonts w:ascii="宋体" w:hAnsi="宋体"/>
          <w:b/>
          <w:bCs/>
          <w:sz w:val="24"/>
          <w:szCs w:val="24"/>
        </w:rPr>
      </w:pPr>
      <w:r>
        <w:rPr>
          <w:rFonts w:hint="eastAsia" w:ascii="宋体" w:hAnsi="宋体"/>
          <w:b/>
          <w:bCs/>
          <w:sz w:val="24"/>
          <w:szCs w:val="24"/>
        </w:rPr>
        <w:t>益阳市拍卖有限公司</w:t>
      </w:r>
      <w:r>
        <w:rPr>
          <w:rFonts w:ascii="宋体" w:hAnsi="宋体"/>
          <w:b/>
          <w:bCs/>
          <w:sz w:val="24"/>
          <w:szCs w:val="24"/>
        </w:rPr>
        <w:t>：</w:t>
      </w:r>
    </w:p>
    <w:p>
      <w:pPr>
        <w:spacing w:line="460" w:lineRule="exact"/>
        <w:ind w:firstLine="480" w:firstLineChars="200"/>
        <w:rPr>
          <w:rFonts w:ascii="宋体" w:hAnsi="宋体"/>
          <w:sz w:val="24"/>
          <w:szCs w:val="24"/>
        </w:rPr>
      </w:pPr>
      <w:r>
        <w:rPr>
          <w:rFonts w:ascii="宋体" w:hAnsi="宋体"/>
          <w:sz w:val="24"/>
          <w:szCs w:val="24"/>
        </w:rPr>
        <w:t>我</w:t>
      </w:r>
      <w:r>
        <w:rPr>
          <w:rFonts w:hint="eastAsia" w:ascii="宋体" w:hAnsi="宋体"/>
          <w:sz w:val="24"/>
          <w:szCs w:val="24"/>
        </w:rPr>
        <w:t>方</w:t>
      </w:r>
      <w:r>
        <w:rPr>
          <w:rFonts w:ascii="宋体" w:hAnsi="宋体"/>
          <w:sz w:val="24"/>
          <w:szCs w:val="24"/>
        </w:rPr>
        <w:t>现提出申请，请贵</w:t>
      </w:r>
      <w:r>
        <w:rPr>
          <w:rFonts w:hint="eastAsia" w:ascii="宋体" w:hAnsi="宋体"/>
          <w:sz w:val="24"/>
          <w:szCs w:val="24"/>
        </w:rPr>
        <w:t>公司</w:t>
      </w:r>
      <w:r>
        <w:rPr>
          <w:rFonts w:ascii="宋体" w:hAnsi="宋体"/>
          <w:sz w:val="24"/>
          <w:szCs w:val="24"/>
        </w:rPr>
        <w:t>将我</w:t>
      </w:r>
      <w:r>
        <w:rPr>
          <w:rFonts w:hint="eastAsia" w:ascii="宋体" w:hAnsi="宋体"/>
          <w:sz w:val="24"/>
          <w:szCs w:val="24"/>
        </w:rPr>
        <w:t>方</w:t>
      </w:r>
      <w:r>
        <w:rPr>
          <w:rFonts w:ascii="宋体" w:hAnsi="宋体"/>
          <w:sz w:val="24"/>
          <w:szCs w:val="24"/>
        </w:rPr>
        <w:t>持有的</w:t>
      </w:r>
      <w:r>
        <w:rPr>
          <w:rFonts w:hint="eastAsia"/>
          <w:sz w:val="24"/>
          <w:szCs w:val="24"/>
        </w:rPr>
        <w:t>湘H0W300、湘H29808、</w:t>
      </w:r>
      <w:r>
        <w:rPr>
          <w:rFonts w:hint="eastAsia"/>
          <w:sz w:val="24"/>
          <w:szCs w:val="24"/>
          <w:lang w:eastAsia="zh-CN"/>
        </w:rPr>
        <w:t>湘</w:t>
      </w:r>
      <w:r>
        <w:rPr>
          <w:rFonts w:hint="eastAsia"/>
          <w:sz w:val="24"/>
          <w:szCs w:val="24"/>
        </w:rPr>
        <w:t>HK1908共3台车辆拍卖</w:t>
      </w:r>
      <w:r>
        <w:rPr>
          <w:rFonts w:hint="eastAsia" w:ascii="宋体" w:hAnsi="宋体"/>
          <w:sz w:val="24"/>
          <w:szCs w:val="24"/>
        </w:rPr>
        <w:t>信息</w:t>
      </w:r>
      <w:r>
        <w:rPr>
          <w:rFonts w:ascii="宋体" w:hAnsi="宋体"/>
          <w:sz w:val="24"/>
          <w:szCs w:val="24"/>
        </w:rPr>
        <w:t>通过</w:t>
      </w:r>
      <w:r>
        <w:rPr>
          <w:rFonts w:hint="eastAsia" w:ascii="宋体" w:hAnsi="宋体"/>
          <w:sz w:val="24"/>
          <w:szCs w:val="24"/>
        </w:rPr>
        <w:t>益阳市公共资源交易中心</w:t>
      </w:r>
      <w:r>
        <w:rPr>
          <w:rFonts w:ascii="宋体" w:hAnsi="宋体"/>
          <w:sz w:val="24"/>
          <w:szCs w:val="24"/>
        </w:rPr>
        <w:t>网站</w:t>
      </w:r>
      <w:r>
        <w:rPr>
          <w:rFonts w:hint="eastAsia" w:ascii="宋体" w:hAnsi="宋体"/>
          <w:sz w:val="24"/>
          <w:szCs w:val="24"/>
        </w:rPr>
        <w:t>及相关媒体</w:t>
      </w:r>
      <w:r>
        <w:rPr>
          <w:rFonts w:ascii="宋体" w:hAnsi="宋体"/>
          <w:sz w:val="24"/>
          <w:szCs w:val="24"/>
        </w:rPr>
        <w:t>公开发布并组织</w:t>
      </w:r>
      <w:r>
        <w:rPr>
          <w:rFonts w:hint="eastAsia" w:ascii="宋体" w:hAnsi="宋体"/>
          <w:sz w:val="24"/>
          <w:szCs w:val="24"/>
        </w:rPr>
        <w:t>网络拍卖</w:t>
      </w:r>
      <w:r>
        <w:rPr>
          <w:rFonts w:ascii="宋体" w:hAnsi="宋体"/>
          <w:sz w:val="24"/>
          <w:szCs w:val="24"/>
        </w:rPr>
        <w:t>。现提交《</w:t>
      </w:r>
      <w:r>
        <w:rPr>
          <w:rFonts w:hint="eastAsia" w:ascii="宋体" w:hAnsi="宋体"/>
          <w:sz w:val="24"/>
          <w:szCs w:val="24"/>
        </w:rPr>
        <w:t>益阳市公安局资阳分局车辆拍卖申请与承诺</w:t>
      </w:r>
      <w:r>
        <w:rPr>
          <w:rFonts w:ascii="宋体" w:hAnsi="宋体"/>
          <w:sz w:val="24"/>
          <w:szCs w:val="24"/>
        </w:rPr>
        <w:t>》</w:t>
      </w:r>
      <w:r>
        <w:rPr>
          <w:rFonts w:hint="eastAsia" w:ascii="宋体" w:hAnsi="宋体"/>
          <w:sz w:val="24"/>
          <w:szCs w:val="24"/>
        </w:rPr>
        <w:t>(以下简称“车辆</w:t>
      </w:r>
      <w:r>
        <w:rPr>
          <w:rFonts w:hint="eastAsia" w:ascii="宋体" w:hAnsi="宋体" w:cs="仿宋"/>
          <w:sz w:val="24"/>
          <w:szCs w:val="24"/>
        </w:rPr>
        <w:t>拍卖</w:t>
      </w:r>
      <w:r>
        <w:rPr>
          <w:rFonts w:hint="eastAsia" w:ascii="宋体" w:hAnsi="宋体"/>
          <w:sz w:val="24"/>
          <w:szCs w:val="24"/>
        </w:rPr>
        <w:t>公告”）</w:t>
      </w:r>
      <w:r>
        <w:rPr>
          <w:rFonts w:ascii="宋体" w:hAnsi="宋体"/>
          <w:sz w:val="24"/>
          <w:szCs w:val="24"/>
        </w:rPr>
        <w:t>及相关材料，请予审核。</w:t>
      </w:r>
      <w:r>
        <w:rPr>
          <w:rFonts w:hint="eastAsia" w:ascii="宋体" w:hAnsi="宋体"/>
          <w:sz w:val="24"/>
          <w:szCs w:val="24"/>
        </w:rPr>
        <w:t>我方</w:t>
      </w:r>
      <w:r>
        <w:rPr>
          <w:rFonts w:ascii="宋体" w:hAnsi="宋体"/>
          <w:sz w:val="24"/>
          <w:szCs w:val="24"/>
        </w:rPr>
        <w:t>依照公开、公平、公正、诚信的原则，作如下承诺：</w:t>
      </w:r>
    </w:p>
    <w:p>
      <w:pPr>
        <w:spacing w:line="400" w:lineRule="exact"/>
        <w:ind w:firstLine="480" w:firstLineChars="200"/>
        <w:rPr>
          <w:rFonts w:ascii="宋体" w:hAnsi="宋体"/>
          <w:bCs/>
          <w:sz w:val="24"/>
          <w:szCs w:val="24"/>
        </w:rPr>
      </w:pPr>
      <w:r>
        <w:rPr>
          <w:rFonts w:ascii="宋体" w:hAnsi="宋体"/>
          <w:bCs/>
          <w:sz w:val="24"/>
          <w:szCs w:val="24"/>
        </w:rPr>
        <w:t>1、本次</w:t>
      </w:r>
      <w:r>
        <w:rPr>
          <w:rFonts w:hint="eastAsia" w:ascii="宋体" w:hAnsi="宋体"/>
          <w:sz w:val="24"/>
          <w:szCs w:val="24"/>
        </w:rPr>
        <w:t>标的拍卖</w:t>
      </w:r>
      <w:r>
        <w:rPr>
          <w:rFonts w:ascii="宋体" w:hAnsi="宋体"/>
          <w:bCs/>
          <w:sz w:val="24"/>
          <w:szCs w:val="24"/>
        </w:rPr>
        <w:t>是</w:t>
      </w:r>
      <w:r>
        <w:rPr>
          <w:rFonts w:hint="eastAsia" w:ascii="宋体" w:hAnsi="宋体"/>
          <w:bCs/>
          <w:sz w:val="24"/>
          <w:szCs w:val="24"/>
        </w:rPr>
        <w:t>委托方</w:t>
      </w:r>
      <w:r>
        <w:rPr>
          <w:rFonts w:ascii="宋体" w:hAnsi="宋体"/>
          <w:bCs/>
          <w:sz w:val="24"/>
          <w:szCs w:val="24"/>
        </w:rPr>
        <w:t>真实意愿表示，</w:t>
      </w:r>
      <w:r>
        <w:rPr>
          <w:rFonts w:hint="eastAsia" w:ascii="宋体" w:hAnsi="宋体"/>
          <w:bCs/>
          <w:sz w:val="24"/>
          <w:szCs w:val="24"/>
        </w:rPr>
        <w:t>该资产</w:t>
      </w:r>
      <w:r>
        <w:rPr>
          <w:rFonts w:ascii="宋体" w:hAnsi="宋体"/>
          <w:bCs/>
          <w:sz w:val="24"/>
          <w:szCs w:val="24"/>
        </w:rPr>
        <w:t>权属清晰，</w:t>
      </w:r>
      <w:r>
        <w:rPr>
          <w:rFonts w:hint="eastAsia" w:ascii="宋体" w:hAnsi="宋体"/>
          <w:bCs/>
          <w:sz w:val="24"/>
          <w:szCs w:val="24"/>
        </w:rPr>
        <w:t>委托方</w:t>
      </w:r>
      <w:r>
        <w:rPr>
          <w:rFonts w:ascii="宋体" w:hAnsi="宋体"/>
          <w:bCs/>
          <w:sz w:val="24"/>
          <w:szCs w:val="24"/>
        </w:rPr>
        <w:t>对该</w:t>
      </w:r>
      <w:r>
        <w:rPr>
          <w:rFonts w:hint="eastAsia" w:ascii="宋体" w:hAnsi="宋体"/>
          <w:bCs/>
          <w:sz w:val="24"/>
          <w:szCs w:val="24"/>
        </w:rPr>
        <w:t>标的</w:t>
      </w:r>
      <w:r>
        <w:rPr>
          <w:rFonts w:ascii="宋体" w:hAnsi="宋体"/>
          <w:bCs/>
          <w:sz w:val="24"/>
          <w:szCs w:val="24"/>
        </w:rPr>
        <w:t>拥有处置权；</w:t>
      </w:r>
    </w:p>
    <w:p>
      <w:pPr>
        <w:spacing w:line="400" w:lineRule="exact"/>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委托</w:t>
      </w:r>
      <w:r>
        <w:rPr>
          <w:rFonts w:ascii="宋体" w:hAnsi="宋体"/>
          <w:bCs/>
          <w:sz w:val="24"/>
          <w:szCs w:val="24"/>
        </w:rPr>
        <w:t>方</w:t>
      </w:r>
      <w:r>
        <w:rPr>
          <w:rFonts w:hint="eastAsia" w:ascii="宋体" w:hAnsi="宋体"/>
          <w:sz w:val="24"/>
          <w:szCs w:val="24"/>
        </w:rPr>
        <w:t>拍卖标的的</w:t>
      </w:r>
      <w:r>
        <w:rPr>
          <w:rFonts w:ascii="宋体" w:hAnsi="宋体"/>
          <w:bCs/>
          <w:sz w:val="24"/>
          <w:szCs w:val="24"/>
        </w:rPr>
        <w:t>相关行为已履行了相应程序，经过有效的内部决策，并获得</w:t>
      </w:r>
      <w:r>
        <w:rPr>
          <w:rFonts w:hint="eastAsia" w:ascii="宋体" w:hAnsi="宋体"/>
          <w:bCs/>
          <w:sz w:val="24"/>
          <w:szCs w:val="24"/>
        </w:rPr>
        <w:t>相关</w:t>
      </w:r>
      <w:r>
        <w:rPr>
          <w:rFonts w:ascii="宋体" w:hAnsi="宋体"/>
          <w:bCs/>
          <w:sz w:val="24"/>
          <w:szCs w:val="24"/>
        </w:rPr>
        <w:t>批准；</w:t>
      </w:r>
    </w:p>
    <w:p>
      <w:pPr>
        <w:spacing w:line="400" w:lineRule="exact"/>
        <w:ind w:firstLine="480" w:firstLineChars="200"/>
        <w:rPr>
          <w:rFonts w:ascii="宋体" w:hAnsi="宋体"/>
          <w:bCs/>
          <w:sz w:val="24"/>
          <w:szCs w:val="24"/>
        </w:rPr>
      </w:pPr>
      <w:r>
        <w:rPr>
          <w:rFonts w:ascii="宋体" w:hAnsi="宋体"/>
          <w:bCs/>
          <w:sz w:val="24"/>
          <w:szCs w:val="24"/>
        </w:rPr>
        <w:t>3、</w:t>
      </w:r>
      <w:r>
        <w:rPr>
          <w:rFonts w:hint="eastAsia" w:ascii="宋体" w:hAnsi="宋体"/>
          <w:bCs/>
          <w:sz w:val="24"/>
          <w:szCs w:val="24"/>
        </w:rPr>
        <w:t>委托</w:t>
      </w:r>
      <w:r>
        <w:rPr>
          <w:rFonts w:ascii="宋体" w:hAnsi="宋体"/>
          <w:bCs/>
          <w:sz w:val="24"/>
          <w:szCs w:val="24"/>
        </w:rPr>
        <w:t>方所提交的《</w:t>
      </w:r>
      <w:r>
        <w:rPr>
          <w:rFonts w:hint="eastAsia" w:ascii="宋体" w:hAnsi="宋体"/>
          <w:bCs/>
          <w:sz w:val="24"/>
          <w:szCs w:val="24"/>
        </w:rPr>
        <w:t>车辆</w:t>
      </w:r>
      <w:r>
        <w:rPr>
          <w:rFonts w:hint="eastAsia" w:ascii="宋体" w:hAnsi="宋体" w:cs="仿宋"/>
          <w:sz w:val="24"/>
          <w:szCs w:val="24"/>
        </w:rPr>
        <w:t>拍卖</w:t>
      </w:r>
      <w:r>
        <w:rPr>
          <w:rFonts w:hint="eastAsia" w:ascii="宋体" w:hAnsi="宋体"/>
          <w:bCs/>
          <w:sz w:val="24"/>
          <w:szCs w:val="24"/>
        </w:rPr>
        <w:t>公告</w:t>
      </w:r>
      <w:r>
        <w:rPr>
          <w:rFonts w:ascii="宋体" w:hAnsi="宋体"/>
          <w:bCs/>
          <w:sz w:val="24"/>
          <w:szCs w:val="24"/>
        </w:rPr>
        <w:t>》及附件材料内容真实、完整、合法、有效，不存在虚假记载、误导性陈述或重大遗漏；</w:t>
      </w:r>
    </w:p>
    <w:p>
      <w:pPr>
        <w:spacing w:line="400" w:lineRule="exact"/>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委托</w:t>
      </w:r>
      <w:r>
        <w:rPr>
          <w:rFonts w:ascii="宋体" w:hAnsi="宋体"/>
          <w:bCs/>
          <w:sz w:val="24"/>
          <w:szCs w:val="24"/>
        </w:rPr>
        <w:t>方在</w:t>
      </w:r>
      <w:r>
        <w:rPr>
          <w:rFonts w:hint="eastAsia" w:ascii="宋体" w:hAnsi="宋体"/>
          <w:bCs/>
          <w:sz w:val="24"/>
          <w:szCs w:val="24"/>
        </w:rPr>
        <w:t>该标的</w:t>
      </w:r>
      <w:r>
        <w:rPr>
          <w:rFonts w:hint="eastAsia" w:ascii="宋体" w:hAnsi="宋体"/>
          <w:sz w:val="24"/>
          <w:szCs w:val="24"/>
        </w:rPr>
        <w:t>拍卖</w:t>
      </w:r>
      <w:r>
        <w:rPr>
          <w:rFonts w:ascii="宋体" w:hAnsi="宋体"/>
          <w:bCs/>
          <w:sz w:val="24"/>
          <w:szCs w:val="24"/>
        </w:rPr>
        <w:t>过程中，遵守法律法规规定和产权交易的相关规则，</w:t>
      </w:r>
      <w:r>
        <w:rPr>
          <w:rFonts w:hint="eastAsia" w:ascii="宋体" w:hAnsi="宋体"/>
          <w:bCs/>
          <w:sz w:val="24"/>
          <w:szCs w:val="24"/>
        </w:rPr>
        <w:t>并</w:t>
      </w:r>
      <w:r>
        <w:rPr>
          <w:rFonts w:ascii="宋体" w:hAnsi="宋体"/>
          <w:bCs/>
          <w:sz w:val="24"/>
          <w:szCs w:val="24"/>
        </w:rPr>
        <w:t>按照有关要求履行义务。</w:t>
      </w:r>
    </w:p>
    <w:p>
      <w:pPr>
        <w:spacing w:line="400" w:lineRule="exact"/>
        <w:ind w:firstLine="480" w:firstLineChars="200"/>
        <w:rPr>
          <w:rFonts w:ascii="宋体" w:hAnsi="宋体"/>
          <w:bCs/>
          <w:sz w:val="24"/>
          <w:szCs w:val="24"/>
        </w:rPr>
      </w:pPr>
      <w:r>
        <w:rPr>
          <w:rFonts w:hint="eastAsia" w:ascii="宋体" w:hAnsi="宋体"/>
          <w:bCs/>
          <w:sz w:val="24"/>
          <w:szCs w:val="24"/>
        </w:rPr>
        <w:t>5</w:t>
      </w:r>
      <w:r>
        <w:rPr>
          <w:rFonts w:ascii="宋体" w:hAnsi="宋体"/>
          <w:bCs/>
          <w:sz w:val="24"/>
          <w:szCs w:val="24"/>
        </w:rPr>
        <w:t>、</w:t>
      </w:r>
      <w:r>
        <w:rPr>
          <w:rFonts w:hint="eastAsia" w:ascii="宋体" w:hAnsi="宋体"/>
          <w:bCs/>
          <w:sz w:val="24"/>
          <w:szCs w:val="24"/>
        </w:rPr>
        <w:t>本次竞价</w:t>
      </w:r>
      <w:r>
        <w:rPr>
          <w:rFonts w:ascii="宋体" w:hAnsi="宋体"/>
          <w:bCs/>
          <w:sz w:val="24"/>
          <w:szCs w:val="24"/>
        </w:rPr>
        <w:t>按照</w:t>
      </w:r>
      <w:r>
        <w:rPr>
          <w:rFonts w:hint="eastAsia" w:ascii="宋体" w:hAnsi="宋体"/>
          <w:bCs/>
          <w:sz w:val="24"/>
          <w:szCs w:val="24"/>
        </w:rPr>
        <w:t>网络竞价（动态报价）的交易</w:t>
      </w:r>
      <w:r>
        <w:rPr>
          <w:rFonts w:ascii="宋体" w:hAnsi="宋体"/>
          <w:bCs/>
          <w:sz w:val="24"/>
          <w:szCs w:val="24"/>
        </w:rPr>
        <w:t>方式确定</w:t>
      </w:r>
      <w:r>
        <w:rPr>
          <w:rFonts w:hint="eastAsia" w:ascii="宋体" w:hAnsi="宋体"/>
          <w:bCs/>
          <w:sz w:val="24"/>
          <w:szCs w:val="24"/>
        </w:rPr>
        <w:t>买受人</w:t>
      </w:r>
      <w:r>
        <w:rPr>
          <w:rFonts w:ascii="宋体" w:hAnsi="宋体"/>
          <w:bCs/>
          <w:sz w:val="24"/>
          <w:szCs w:val="24"/>
        </w:rPr>
        <w:t>。</w:t>
      </w:r>
    </w:p>
    <w:p>
      <w:pPr>
        <w:spacing w:line="400" w:lineRule="exact"/>
        <w:ind w:firstLine="480" w:firstLineChars="200"/>
        <w:rPr>
          <w:rFonts w:ascii="宋体" w:hAnsi="宋体"/>
          <w:bCs/>
          <w:sz w:val="24"/>
          <w:szCs w:val="24"/>
        </w:rPr>
      </w:pPr>
      <w:r>
        <w:rPr>
          <w:rFonts w:hint="eastAsia" w:ascii="宋体" w:hAnsi="宋体"/>
          <w:bCs/>
          <w:sz w:val="24"/>
          <w:szCs w:val="24"/>
        </w:rPr>
        <w:t>6</w:t>
      </w:r>
      <w:r>
        <w:rPr>
          <w:rFonts w:ascii="宋体" w:hAnsi="宋体"/>
          <w:bCs/>
          <w:sz w:val="24"/>
          <w:szCs w:val="24"/>
        </w:rPr>
        <w:t>、</w:t>
      </w:r>
      <w:r>
        <w:rPr>
          <w:rFonts w:hint="eastAsia" w:ascii="宋体" w:hAnsi="宋体"/>
          <w:bCs/>
          <w:sz w:val="24"/>
          <w:szCs w:val="24"/>
        </w:rPr>
        <w:t>委托</w:t>
      </w:r>
      <w:r>
        <w:rPr>
          <w:rFonts w:ascii="宋体" w:hAnsi="宋体"/>
          <w:bCs/>
          <w:sz w:val="24"/>
          <w:szCs w:val="24"/>
        </w:rPr>
        <w:t>方保证遵守以上承诺，如</w:t>
      </w:r>
      <w:r>
        <w:rPr>
          <w:rFonts w:hint="eastAsia" w:ascii="宋体" w:hAnsi="宋体"/>
          <w:bCs/>
          <w:sz w:val="24"/>
          <w:szCs w:val="24"/>
        </w:rPr>
        <w:t>委托</w:t>
      </w:r>
      <w:r>
        <w:rPr>
          <w:rFonts w:ascii="宋体" w:hAnsi="宋体"/>
          <w:bCs/>
          <w:sz w:val="24"/>
          <w:szCs w:val="24"/>
        </w:rPr>
        <w:t>方发生违规违约行为，</w:t>
      </w:r>
      <w:r>
        <w:rPr>
          <w:rFonts w:hint="eastAsia" w:ascii="宋体" w:hAnsi="宋体"/>
          <w:bCs/>
          <w:sz w:val="24"/>
          <w:szCs w:val="24"/>
        </w:rPr>
        <w:t>而给交易相关方</w:t>
      </w:r>
      <w:r>
        <w:rPr>
          <w:rFonts w:ascii="宋体" w:hAnsi="宋体"/>
          <w:bCs/>
          <w:sz w:val="24"/>
          <w:szCs w:val="24"/>
        </w:rPr>
        <w:t>造成损失的，</w:t>
      </w:r>
      <w:r>
        <w:rPr>
          <w:rFonts w:hint="eastAsia" w:ascii="宋体" w:hAnsi="宋体"/>
          <w:bCs/>
          <w:sz w:val="24"/>
          <w:szCs w:val="24"/>
        </w:rPr>
        <w:t>委托方承诺</w:t>
      </w:r>
      <w:r>
        <w:rPr>
          <w:rFonts w:ascii="宋体" w:hAnsi="宋体"/>
          <w:bCs/>
          <w:sz w:val="24"/>
          <w:szCs w:val="24"/>
        </w:rPr>
        <w:t>承担赔偿责任。</w:t>
      </w:r>
    </w:p>
    <w:p>
      <w:pPr>
        <w:spacing w:line="400" w:lineRule="exact"/>
        <w:ind w:right="600" w:firstLine="480" w:firstLineChars="200"/>
        <w:jc w:val="left"/>
        <w:rPr>
          <w:rFonts w:ascii="宋体" w:hAnsi="宋体"/>
          <w:bCs/>
          <w:sz w:val="24"/>
          <w:szCs w:val="24"/>
        </w:rPr>
      </w:pPr>
    </w:p>
    <w:p>
      <w:pPr>
        <w:spacing w:line="400" w:lineRule="exact"/>
        <w:ind w:right="600" w:firstLine="480" w:firstLineChars="200"/>
        <w:jc w:val="left"/>
        <w:rPr>
          <w:rFonts w:ascii="宋体" w:hAnsi="宋体"/>
          <w:bCs/>
          <w:sz w:val="24"/>
          <w:szCs w:val="24"/>
        </w:rPr>
      </w:pPr>
      <w:r>
        <w:rPr>
          <w:rFonts w:ascii="宋体" w:hAnsi="宋体"/>
          <w:bCs/>
          <w:sz w:val="24"/>
          <w:szCs w:val="24"/>
        </w:rPr>
        <w:t>附</w:t>
      </w:r>
      <w:r>
        <w:rPr>
          <w:rFonts w:hint="eastAsia" w:ascii="宋体" w:hAnsi="宋体"/>
          <w:bCs/>
          <w:sz w:val="24"/>
          <w:szCs w:val="24"/>
        </w:rPr>
        <w:t>件1</w:t>
      </w:r>
      <w:r>
        <w:rPr>
          <w:rFonts w:ascii="宋体" w:hAnsi="宋体"/>
          <w:bCs/>
          <w:sz w:val="24"/>
          <w:szCs w:val="24"/>
        </w:rPr>
        <w:t>：《</w:t>
      </w:r>
      <w:r>
        <w:rPr>
          <w:rFonts w:hint="eastAsia"/>
          <w:sz w:val="24"/>
          <w:szCs w:val="24"/>
        </w:rPr>
        <w:t>湘HK1908、湘H29808、湘H0W300共3台车辆拍卖</w:t>
      </w:r>
      <w:r>
        <w:rPr>
          <w:rFonts w:ascii="宋体" w:hAnsi="宋体"/>
          <w:bCs/>
          <w:sz w:val="24"/>
          <w:szCs w:val="24"/>
        </w:rPr>
        <w:t>》</w:t>
      </w:r>
      <w:r>
        <w:rPr>
          <w:rFonts w:hint="eastAsia" w:ascii="宋体" w:hAnsi="宋体"/>
          <w:bCs/>
          <w:sz w:val="24"/>
          <w:szCs w:val="24"/>
        </w:rPr>
        <w:t>竞价文件</w:t>
      </w:r>
    </w:p>
    <w:p>
      <w:pPr>
        <w:spacing w:line="400" w:lineRule="exact"/>
        <w:ind w:right="600"/>
        <w:jc w:val="left"/>
        <w:rPr>
          <w:rFonts w:ascii="宋体" w:hAnsi="宋体"/>
          <w:bCs/>
          <w:sz w:val="24"/>
          <w:szCs w:val="24"/>
        </w:rPr>
      </w:pPr>
    </w:p>
    <w:p>
      <w:pPr>
        <w:spacing w:line="400" w:lineRule="exact"/>
        <w:ind w:right="600" w:firstLine="480" w:firstLineChars="200"/>
        <w:jc w:val="left"/>
        <w:rPr>
          <w:rFonts w:ascii="宋体" w:hAnsi="宋体"/>
          <w:bCs/>
          <w:sz w:val="24"/>
          <w:szCs w:val="24"/>
        </w:rPr>
      </w:pPr>
    </w:p>
    <w:p>
      <w:pPr>
        <w:spacing w:line="400" w:lineRule="exact"/>
        <w:ind w:right="600"/>
        <w:jc w:val="left"/>
        <w:rPr>
          <w:rFonts w:ascii="宋体" w:hAnsi="宋体"/>
          <w:bCs/>
          <w:sz w:val="24"/>
          <w:szCs w:val="24"/>
        </w:rPr>
      </w:pPr>
      <w:r>
        <w:rPr>
          <w:rFonts w:hint="eastAsia" w:ascii="宋体" w:hAnsi="宋体"/>
          <w:bCs/>
          <w:sz w:val="24"/>
          <w:szCs w:val="24"/>
        </w:rPr>
        <w:t xml:space="preserve"> </w:t>
      </w:r>
    </w:p>
    <w:p>
      <w:pPr>
        <w:spacing w:line="400" w:lineRule="exact"/>
        <w:ind w:right="600"/>
        <w:jc w:val="left"/>
        <w:rPr>
          <w:rFonts w:eastAsia="仿宋_GB2312"/>
          <w:sz w:val="24"/>
          <w:szCs w:val="24"/>
        </w:rPr>
      </w:pPr>
    </w:p>
    <w:p>
      <w:pPr>
        <w:spacing w:line="400" w:lineRule="exact"/>
        <w:ind w:firstLine="480" w:firstLineChars="200"/>
        <w:jc w:val="center"/>
        <w:rPr>
          <w:rFonts w:ascii="宋体" w:hAnsi="宋体"/>
          <w:bCs/>
          <w:sz w:val="24"/>
          <w:szCs w:val="24"/>
        </w:rPr>
      </w:pPr>
      <w:r>
        <w:rPr>
          <w:rFonts w:hint="eastAsia" w:ascii="宋体" w:hAnsi="宋体"/>
          <w:bCs/>
          <w:sz w:val="24"/>
          <w:szCs w:val="24"/>
        </w:rPr>
        <w:t>委托方（盖章）：</w:t>
      </w:r>
    </w:p>
    <w:p>
      <w:pPr>
        <w:spacing w:line="400" w:lineRule="exact"/>
        <w:ind w:firstLine="480" w:firstLineChars="200"/>
        <w:rPr>
          <w:rFonts w:ascii="宋体" w:hAnsi="宋体"/>
          <w:bCs/>
          <w:sz w:val="24"/>
          <w:szCs w:val="24"/>
        </w:rPr>
      </w:pPr>
      <w:r>
        <w:rPr>
          <w:rFonts w:hint="eastAsia" w:ascii="宋体" w:hAnsi="宋体"/>
          <w:bCs/>
          <w:sz w:val="24"/>
          <w:szCs w:val="24"/>
        </w:rPr>
        <w:t xml:space="preserve">                         法定代表人或授权代表（签字）：</w:t>
      </w:r>
    </w:p>
    <w:p>
      <w:pPr>
        <w:spacing w:line="400" w:lineRule="exact"/>
        <w:ind w:firstLine="480" w:firstLineChars="200"/>
        <w:jc w:val="right"/>
        <w:rPr>
          <w:rFonts w:ascii="宋体" w:hAnsi="宋体"/>
          <w:bCs/>
          <w:sz w:val="24"/>
          <w:szCs w:val="24"/>
        </w:rPr>
      </w:pPr>
    </w:p>
    <w:p>
      <w:pPr>
        <w:wordWrap w:val="0"/>
        <w:spacing w:line="400" w:lineRule="exact"/>
        <w:ind w:firstLine="560" w:firstLineChars="200"/>
        <w:jc w:val="right"/>
        <w:rPr>
          <w:sz w:val="28"/>
          <w:szCs w:val="28"/>
        </w:rPr>
      </w:pPr>
      <w:r>
        <w:rPr>
          <w:rFonts w:hint="eastAsia" w:ascii="宋体" w:hAnsi="宋体"/>
          <w:bCs/>
          <w:sz w:val="28"/>
          <w:szCs w:val="28"/>
        </w:rPr>
        <w:t>2020年10月</w:t>
      </w:r>
      <w:r>
        <w:rPr>
          <w:rFonts w:hint="eastAsia" w:ascii="宋体" w:hAnsi="宋体"/>
          <w:bCs/>
          <w:sz w:val="28"/>
          <w:szCs w:val="28"/>
          <w:lang w:val="en-US" w:eastAsia="zh-CN"/>
        </w:rPr>
        <w:t>14</w:t>
      </w:r>
      <w:r>
        <w:rPr>
          <w:rFonts w:hint="eastAsia" w:ascii="宋体" w:hAnsi="宋体"/>
          <w:bCs/>
          <w:sz w:val="28"/>
          <w:szCs w:val="28"/>
        </w:rPr>
        <w:t>日</w:t>
      </w:r>
    </w:p>
    <w:p>
      <w:pPr>
        <w:spacing w:line="480" w:lineRule="exact"/>
        <w:rPr>
          <w:rFonts w:ascii="宋体" w:hAnsi="宋体"/>
          <w:b/>
          <w:sz w:val="32"/>
          <w:szCs w:val="32"/>
        </w:rPr>
      </w:pPr>
      <w:r>
        <w:rPr>
          <w:rFonts w:hint="eastAsia" w:ascii="宋体" w:hAnsi="宋体"/>
          <w:b/>
          <w:sz w:val="32"/>
          <w:szCs w:val="32"/>
        </w:rPr>
        <w:br w:type="page"/>
      </w:r>
      <w:r>
        <w:rPr>
          <w:rFonts w:hint="eastAsia" w:ascii="宋体" w:hAnsi="宋体"/>
          <w:b/>
          <w:sz w:val="28"/>
          <w:szCs w:val="32"/>
        </w:rPr>
        <w:t>附件1:</w:t>
      </w:r>
    </w:p>
    <w:p>
      <w:pPr>
        <w:jc w:val="center"/>
        <w:rPr>
          <w:rFonts w:ascii="宋体" w:hAnsi="宋体"/>
          <w:b/>
          <w:sz w:val="36"/>
          <w:szCs w:val="36"/>
        </w:rPr>
      </w:pPr>
      <w:r>
        <w:rPr>
          <w:rFonts w:hint="eastAsia"/>
          <w:b/>
          <w:kern w:val="11"/>
          <w:sz w:val="36"/>
          <w:szCs w:val="36"/>
        </w:rPr>
        <w:t>益阳市公安局资阳分局车辆</w:t>
      </w:r>
      <w:r>
        <w:rPr>
          <w:rFonts w:hint="eastAsia" w:ascii="宋体" w:hAnsi="宋体"/>
          <w:b/>
          <w:sz w:val="36"/>
          <w:szCs w:val="36"/>
        </w:rPr>
        <w:t>拍卖公告</w:t>
      </w:r>
    </w:p>
    <w:tbl>
      <w:tblPr>
        <w:tblStyle w:val="5"/>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665"/>
        <w:gridCol w:w="495"/>
        <w:gridCol w:w="6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jc w:val="center"/>
        </w:trPr>
        <w:tc>
          <w:tcPr>
            <w:tcW w:w="9527" w:type="dxa"/>
            <w:gridSpan w:val="4"/>
            <w:tcBorders>
              <w:top w:val="single" w:color="auto" w:sz="4" w:space="0"/>
              <w:left w:val="single" w:color="auto" w:sz="4" w:space="0"/>
              <w:bottom w:val="single" w:color="auto" w:sz="4" w:space="0"/>
              <w:right w:val="single" w:color="auto" w:sz="4" w:space="0"/>
            </w:tcBorders>
            <w:vAlign w:val="center"/>
          </w:tcPr>
          <w:p>
            <w:pPr>
              <w:pStyle w:val="11"/>
              <w:spacing w:before="0" w:after="0"/>
              <w:rPr>
                <w:sz w:val="28"/>
                <w:szCs w:val="30"/>
              </w:rPr>
            </w:pPr>
            <w:r>
              <w:rPr>
                <w:rFonts w:hint="eastAsia" w:ascii="宋体" w:hAnsi="宋体" w:cs="宋体"/>
                <w:b/>
                <w:sz w:val="28"/>
                <w:szCs w:val="28"/>
              </w:rPr>
              <w:t>一、委托方承诺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4" w:hRule="exact"/>
          <w:jc w:val="center"/>
        </w:trPr>
        <w:tc>
          <w:tcPr>
            <w:tcW w:w="952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firstLine="480" w:firstLineChars="200"/>
              <w:rPr>
                <w:sz w:val="24"/>
                <w:szCs w:val="24"/>
              </w:rPr>
            </w:pPr>
            <w:r>
              <w:rPr>
                <w:sz w:val="24"/>
                <w:szCs w:val="24"/>
              </w:rPr>
              <w:t>我</w:t>
            </w:r>
            <w:r>
              <w:rPr>
                <w:rFonts w:hint="eastAsia"/>
                <w:sz w:val="24"/>
                <w:szCs w:val="24"/>
              </w:rPr>
              <w:t>方</w:t>
            </w:r>
            <w:r>
              <w:rPr>
                <w:sz w:val="24"/>
                <w:szCs w:val="24"/>
              </w:rPr>
              <w:t>拟将持有</w:t>
            </w:r>
            <w:r>
              <w:rPr>
                <w:rFonts w:hint="eastAsia"/>
                <w:sz w:val="24"/>
                <w:szCs w:val="24"/>
              </w:rPr>
              <w:t>的湘H0W300、湘H29808、</w:t>
            </w:r>
            <w:r>
              <w:rPr>
                <w:rFonts w:hint="eastAsia"/>
                <w:sz w:val="24"/>
                <w:szCs w:val="24"/>
                <w:lang w:eastAsia="zh-CN"/>
              </w:rPr>
              <w:t>湘</w:t>
            </w:r>
            <w:r>
              <w:rPr>
                <w:rFonts w:hint="eastAsia"/>
                <w:sz w:val="24"/>
                <w:szCs w:val="24"/>
              </w:rPr>
              <w:t>HK1908共3台车辆按现状拍卖</w:t>
            </w:r>
            <w:r>
              <w:rPr>
                <w:sz w:val="24"/>
                <w:szCs w:val="24"/>
              </w:rPr>
              <w:t>，</w:t>
            </w:r>
            <w:r>
              <w:rPr>
                <w:rFonts w:hint="eastAsia"/>
                <w:sz w:val="24"/>
                <w:szCs w:val="24"/>
              </w:rPr>
              <w:t>并</w:t>
            </w:r>
            <w:r>
              <w:rPr>
                <w:sz w:val="24"/>
                <w:szCs w:val="24"/>
              </w:rPr>
              <w:t>按本公告内容由</w:t>
            </w:r>
            <w:r>
              <w:rPr>
                <w:rFonts w:hint="eastAsia"/>
                <w:sz w:val="24"/>
                <w:szCs w:val="24"/>
              </w:rPr>
              <w:t>益阳市拍卖有限公司</w:t>
            </w:r>
            <w:r>
              <w:rPr>
                <w:sz w:val="24"/>
                <w:szCs w:val="24"/>
              </w:rPr>
              <w:t>在</w:t>
            </w:r>
            <w:r>
              <w:rPr>
                <w:rFonts w:hint="eastAsia"/>
                <w:sz w:val="24"/>
                <w:szCs w:val="24"/>
              </w:rPr>
              <w:t>益阳市公共资源交易</w:t>
            </w:r>
            <w:r>
              <w:rPr>
                <w:sz w:val="24"/>
                <w:szCs w:val="24"/>
              </w:rPr>
              <w:t>网站</w:t>
            </w:r>
            <w:r>
              <w:rPr>
                <w:rFonts w:hint="eastAsia"/>
                <w:sz w:val="24"/>
                <w:szCs w:val="24"/>
              </w:rPr>
              <w:t>及相关媒体</w:t>
            </w:r>
            <w:r>
              <w:rPr>
                <w:sz w:val="24"/>
                <w:szCs w:val="24"/>
              </w:rPr>
              <w:t>公开发布</w:t>
            </w:r>
            <w:r>
              <w:rPr>
                <w:rFonts w:hint="eastAsia"/>
                <w:sz w:val="24"/>
                <w:szCs w:val="24"/>
              </w:rPr>
              <w:t>拍卖</w:t>
            </w:r>
            <w:r>
              <w:rPr>
                <w:sz w:val="24"/>
                <w:szCs w:val="24"/>
              </w:rPr>
              <w:t>信息</w:t>
            </w:r>
            <w:r>
              <w:rPr>
                <w:rFonts w:hint="eastAsia"/>
                <w:sz w:val="24"/>
                <w:szCs w:val="24"/>
              </w:rPr>
              <w:t>，</w:t>
            </w:r>
            <w:r>
              <w:rPr>
                <w:sz w:val="24"/>
                <w:szCs w:val="24"/>
              </w:rPr>
              <w:t>组织实施交易。</w:t>
            </w:r>
            <w:r>
              <w:rPr>
                <w:rFonts w:hint="eastAsia"/>
                <w:sz w:val="24"/>
                <w:szCs w:val="24"/>
              </w:rPr>
              <w:t>我</w:t>
            </w:r>
            <w:r>
              <w:rPr>
                <w:sz w:val="24"/>
                <w:szCs w:val="24"/>
              </w:rPr>
              <w:t>方依照公开、公平、公正、诚信</w:t>
            </w:r>
            <w:bookmarkStart w:id="2" w:name="_GoBack"/>
            <w:bookmarkEnd w:id="2"/>
            <w:r>
              <w:rPr>
                <w:sz w:val="24"/>
                <w:szCs w:val="24"/>
              </w:rPr>
              <w:t>的原则作如下承诺：</w:t>
            </w:r>
          </w:p>
          <w:p>
            <w:pPr>
              <w:ind w:firstLine="480" w:firstLineChars="200"/>
              <w:rPr>
                <w:sz w:val="24"/>
                <w:szCs w:val="24"/>
              </w:rPr>
            </w:pPr>
            <w:r>
              <w:rPr>
                <w:sz w:val="24"/>
                <w:szCs w:val="24"/>
              </w:rPr>
              <w:t>1、本次</w:t>
            </w:r>
            <w:r>
              <w:rPr>
                <w:rFonts w:hint="eastAsia"/>
                <w:sz w:val="24"/>
                <w:szCs w:val="24"/>
              </w:rPr>
              <w:t>资产拍卖</w:t>
            </w:r>
            <w:r>
              <w:rPr>
                <w:sz w:val="24"/>
                <w:szCs w:val="24"/>
              </w:rPr>
              <w:t>是</w:t>
            </w:r>
            <w:r>
              <w:rPr>
                <w:rFonts w:hint="eastAsia"/>
                <w:sz w:val="24"/>
                <w:szCs w:val="24"/>
              </w:rPr>
              <w:t>委托</w:t>
            </w:r>
            <w:r>
              <w:rPr>
                <w:sz w:val="24"/>
                <w:szCs w:val="24"/>
              </w:rPr>
              <w:t>方真实意愿表示，</w:t>
            </w:r>
            <w:r>
              <w:rPr>
                <w:rFonts w:hint="eastAsia"/>
                <w:sz w:val="24"/>
                <w:szCs w:val="24"/>
              </w:rPr>
              <w:t>委托</w:t>
            </w:r>
            <w:r>
              <w:rPr>
                <w:sz w:val="24"/>
                <w:szCs w:val="24"/>
              </w:rPr>
              <w:t>方对该</w:t>
            </w:r>
            <w:r>
              <w:rPr>
                <w:rFonts w:hint="eastAsia"/>
                <w:sz w:val="24"/>
                <w:szCs w:val="24"/>
              </w:rPr>
              <w:t>资</w:t>
            </w:r>
            <w:r>
              <w:rPr>
                <w:sz w:val="24"/>
                <w:szCs w:val="24"/>
              </w:rPr>
              <w:t>产拥有处置权；</w:t>
            </w:r>
          </w:p>
          <w:p>
            <w:pPr>
              <w:ind w:firstLine="480" w:firstLineChars="200"/>
              <w:rPr>
                <w:sz w:val="24"/>
                <w:szCs w:val="24"/>
              </w:rPr>
            </w:pPr>
            <w:r>
              <w:rPr>
                <w:sz w:val="24"/>
                <w:szCs w:val="24"/>
              </w:rPr>
              <w:t>2、</w:t>
            </w:r>
            <w:r>
              <w:rPr>
                <w:rFonts w:hint="eastAsia"/>
                <w:sz w:val="24"/>
                <w:szCs w:val="24"/>
              </w:rPr>
              <w:t>委托</w:t>
            </w:r>
            <w:r>
              <w:rPr>
                <w:sz w:val="24"/>
                <w:szCs w:val="24"/>
              </w:rPr>
              <w:t>方</w:t>
            </w:r>
            <w:r>
              <w:rPr>
                <w:rFonts w:hint="eastAsia"/>
                <w:sz w:val="24"/>
                <w:szCs w:val="24"/>
              </w:rPr>
              <w:t>资产拍卖</w:t>
            </w:r>
            <w:r>
              <w:rPr>
                <w:sz w:val="24"/>
                <w:szCs w:val="24"/>
              </w:rPr>
              <w:t xml:space="preserve">的相关行为已履行了相应程序，经过有效的内部决策，并获得相关批准；  </w:t>
            </w:r>
          </w:p>
          <w:p>
            <w:pPr>
              <w:ind w:firstLine="480" w:firstLineChars="200"/>
              <w:rPr>
                <w:sz w:val="24"/>
                <w:szCs w:val="24"/>
              </w:rPr>
            </w:pPr>
            <w:r>
              <w:rPr>
                <w:sz w:val="24"/>
                <w:szCs w:val="24"/>
              </w:rPr>
              <w:t>3、</w:t>
            </w:r>
            <w:r>
              <w:rPr>
                <w:rFonts w:hint="eastAsia"/>
                <w:sz w:val="24"/>
                <w:szCs w:val="24"/>
              </w:rPr>
              <w:t>委托</w:t>
            </w:r>
            <w:r>
              <w:rPr>
                <w:sz w:val="24"/>
                <w:szCs w:val="24"/>
              </w:rPr>
              <w:t>方所提交的《</w:t>
            </w:r>
            <w:r>
              <w:rPr>
                <w:rFonts w:hint="eastAsia"/>
                <w:sz w:val="24"/>
                <w:szCs w:val="24"/>
              </w:rPr>
              <w:t>车辆</w:t>
            </w:r>
            <w:r>
              <w:rPr>
                <w:rFonts w:hint="eastAsia" w:ascii="宋体" w:hAnsi="宋体" w:cs="仿宋"/>
                <w:sz w:val="24"/>
                <w:szCs w:val="24"/>
              </w:rPr>
              <w:t>拍卖</w:t>
            </w:r>
            <w:r>
              <w:rPr>
                <w:rFonts w:hint="eastAsia" w:ascii="宋体" w:hAnsi="宋体"/>
                <w:bCs/>
                <w:sz w:val="24"/>
                <w:szCs w:val="24"/>
              </w:rPr>
              <w:t>公告</w:t>
            </w:r>
            <w:r>
              <w:rPr>
                <w:sz w:val="24"/>
                <w:szCs w:val="24"/>
              </w:rPr>
              <w:t xml:space="preserve">》及附件材料内容真实、完整、合法、有效，不存在虚假记载、误导性陈述或重大遗漏；  </w:t>
            </w:r>
          </w:p>
          <w:p>
            <w:pPr>
              <w:ind w:firstLine="480" w:firstLineChars="200"/>
              <w:rPr>
                <w:sz w:val="24"/>
                <w:szCs w:val="24"/>
              </w:rPr>
            </w:pPr>
            <w:r>
              <w:rPr>
                <w:sz w:val="24"/>
                <w:szCs w:val="24"/>
              </w:rPr>
              <w:t>4、</w:t>
            </w:r>
            <w:r>
              <w:rPr>
                <w:rFonts w:hint="eastAsia"/>
                <w:sz w:val="24"/>
                <w:szCs w:val="24"/>
              </w:rPr>
              <w:t>委托</w:t>
            </w:r>
            <w:r>
              <w:rPr>
                <w:sz w:val="24"/>
                <w:szCs w:val="24"/>
              </w:rPr>
              <w:t>方在</w:t>
            </w:r>
            <w:r>
              <w:rPr>
                <w:rFonts w:hint="eastAsia"/>
                <w:sz w:val="24"/>
                <w:szCs w:val="24"/>
              </w:rPr>
              <w:t>该资产拍卖</w:t>
            </w:r>
            <w:r>
              <w:rPr>
                <w:sz w:val="24"/>
                <w:szCs w:val="24"/>
              </w:rPr>
              <w:t>过程中，遵守法律法规规定和产权交易的相关规则，按照有关要求履行</w:t>
            </w:r>
            <w:r>
              <w:rPr>
                <w:rFonts w:hint="eastAsia"/>
                <w:sz w:val="24"/>
                <w:szCs w:val="24"/>
              </w:rPr>
              <w:t>委托</w:t>
            </w:r>
            <w:r>
              <w:rPr>
                <w:sz w:val="24"/>
                <w:szCs w:val="24"/>
              </w:rPr>
              <w:t xml:space="preserve">方义务。  </w:t>
            </w:r>
          </w:p>
          <w:p>
            <w:pPr>
              <w:spacing w:line="320" w:lineRule="exact"/>
              <w:ind w:firstLine="480" w:firstLineChars="200"/>
              <w:rPr>
                <w:b/>
                <w:sz w:val="24"/>
                <w:szCs w:val="24"/>
              </w:rPr>
            </w:pPr>
            <w:r>
              <w:rPr>
                <w:rFonts w:hint="eastAsia"/>
                <w:sz w:val="24"/>
                <w:szCs w:val="24"/>
              </w:rPr>
              <w:t>委托</w:t>
            </w:r>
            <w:r>
              <w:rPr>
                <w:sz w:val="24"/>
                <w:szCs w:val="24"/>
              </w:rPr>
              <w:t>方保证遵守以上承诺，如</w:t>
            </w:r>
            <w:r>
              <w:rPr>
                <w:rFonts w:hint="eastAsia"/>
                <w:sz w:val="24"/>
                <w:szCs w:val="24"/>
              </w:rPr>
              <w:t>委托</w:t>
            </w:r>
            <w:r>
              <w:rPr>
                <w:sz w:val="24"/>
                <w:szCs w:val="24"/>
              </w:rPr>
              <w:t>方发生违规违约行为，而给交易相关方造成损失的，</w:t>
            </w:r>
            <w:r>
              <w:rPr>
                <w:rFonts w:hint="eastAsia"/>
                <w:sz w:val="24"/>
                <w:szCs w:val="24"/>
              </w:rPr>
              <w:t>委托</w:t>
            </w:r>
            <w:r>
              <w:rPr>
                <w:sz w:val="24"/>
                <w:szCs w:val="24"/>
              </w:rPr>
              <w:t>方承诺承担赔偿责任。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exact"/>
          <w:jc w:val="center"/>
        </w:trPr>
        <w:tc>
          <w:tcPr>
            <w:tcW w:w="9527" w:type="dxa"/>
            <w:gridSpan w:val="4"/>
            <w:tcBorders>
              <w:top w:val="single" w:color="auto" w:sz="4" w:space="0"/>
              <w:left w:val="single" w:color="auto" w:sz="4" w:space="0"/>
              <w:bottom w:val="single" w:color="auto" w:sz="4" w:space="0"/>
              <w:right w:val="single" w:color="auto" w:sz="4" w:space="0"/>
            </w:tcBorders>
            <w:vAlign w:val="center"/>
          </w:tcPr>
          <w:p>
            <w:pPr>
              <w:pStyle w:val="11"/>
              <w:spacing w:before="0" w:after="0"/>
              <w:jc w:val="left"/>
              <w:rPr>
                <w:rFonts w:ascii="宋体" w:hAnsi="宋体"/>
                <w:b/>
                <w:szCs w:val="24"/>
              </w:rPr>
            </w:pPr>
            <w:bookmarkStart w:id="0" w:name="OLE_LINK9"/>
            <w:bookmarkStart w:id="1" w:name="OLE_LINK10"/>
            <w:r>
              <w:rPr>
                <w:rFonts w:hint="eastAsia" w:asciiTheme="majorEastAsia" w:hAnsiTheme="majorEastAsia" w:eastAsiaTheme="majorEastAsia" w:cstheme="majorEastAsia"/>
                <w:b/>
                <w:sz w:val="28"/>
                <w:szCs w:val="28"/>
              </w:rPr>
              <w:t>二、标的简况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981" w:type="dxa"/>
            <w:vMerge w:val="restart"/>
            <w:tcBorders>
              <w:top w:val="single" w:color="auto" w:sz="4" w:space="0"/>
              <w:left w:val="single" w:color="auto" w:sz="4" w:space="0"/>
              <w:right w:val="single" w:color="auto" w:sz="4" w:space="0"/>
            </w:tcBorders>
            <w:vAlign w:val="center"/>
          </w:tcPr>
          <w:p>
            <w:pPr>
              <w:jc w:val="center"/>
              <w:rPr>
                <w:rFonts w:ascii="宋体" w:hAnsi="宋体"/>
                <w:b/>
                <w:sz w:val="24"/>
                <w:szCs w:val="24"/>
              </w:rPr>
            </w:pPr>
            <w:r>
              <w:rPr>
                <w:rFonts w:hint="eastAsia" w:ascii="宋体" w:hAnsi="宋体"/>
                <w:b/>
                <w:sz w:val="24"/>
                <w:szCs w:val="24"/>
              </w:rPr>
              <w:t>标的</w:t>
            </w:r>
          </w:p>
          <w:p>
            <w:pPr>
              <w:jc w:val="center"/>
              <w:rPr>
                <w:rFonts w:ascii="宋体" w:hAnsi="宋体"/>
                <w:sz w:val="24"/>
                <w:szCs w:val="24"/>
              </w:rPr>
            </w:pPr>
            <w:r>
              <w:rPr>
                <w:rFonts w:ascii="宋体" w:hAnsi="宋体"/>
                <w:b/>
                <w:sz w:val="24"/>
                <w:szCs w:val="24"/>
              </w:rPr>
              <w:t>信息</w:t>
            </w:r>
          </w:p>
        </w:tc>
        <w:tc>
          <w:tcPr>
            <w:tcW w:w="1665" w:type="dxa"/>
            <w:tcBorders>
              <w:top w:val="single" w:color="auto" w:sz="4" w:space="0"/>
              <w:left w:val="single" w:color="auto" w:sz="4" w:space="0"/>
              <w:right w:val="single" w:color="auto" w:sz="4" w:space="0"/>
            </w:tcBorders>
            <w:vAlign w:val="center"/>
          </w:tcPr>
          <w:p>
            <w:pPr>
              <w:spacing w:line="312" w:lineRule="auto"/>
              <w:jc w:val="center"/>
              <w:rPr>
                <w:rFonts w:ascii="宋体" w:hAnsi="宋体"/>
                <w:bCs/>
                <w:sz w:val="24"/>
                <w:szCs w:val="24"/>
              </w:rPr>
            </w:pPr>
            <w:r>
              <w:rPr>
                <w:rFonts w:hint="eastAsia" w:ascii="宋体" w:hAnsi="宋体"/>
                <w:bCs/>
                <w:sz w:val="24"/>
                <w:szCs w:val="24"/>
              </w:rPr>
              <w:t>标的1：</w:t>
            </w:r>
          </w:p>
        </w:tc>
        <w:tc>
          <w:tcPr>
            <w:tcW w:w="6881" w:type="dxa"/>
            <w:gridSpan w:val="2"/>
            <w:tcBorders>
              <w:top w:val="single" w:color="auto" w:sz="4" w:space="0"/>
              <w:left w:val="single" w:color="auto" w:sz="4" w:space="0"/>
              <w:right w:val="single" w:color="auto" w:sz="4" w:space="0"/>
            </w:tcBorders>
            <w:vAlign w:val="center"/>
          </w:tcPr>
          <w:p>
            <w:pPr>
              <w:spacing w:line="360" w:lineRule="exact"/>
              <w:rPr>
                <w:rFonts w:ascii="宋体" w:hAnsi="宋体" w:cs="宋体"/>
                <w:sz w:val="24"/>
                <w:szCs w:val="24"/>
              </w:rPr>
            </w:pPr>
            <w:r>
              <w:rPr>
                <w:rFonts w:hint="eastAsia" w:ascii="宋体" w:hAnsi="宋体"/>
                <w:sz w:val="24"/>
                <w:szCs w:val="24"/>
              </w:rPr>
              <w:t>湘H0W300昌河牌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exact"/>
          <w:jc w:val="center"/>
        </w:trPr>
        <w:tc>
          <w:tcPr>
            <w:tcW w:w="981" w:type="dxa"/>
            <w:vMerge w:val="continue"/>
            <w:tcBorders>
              <w:left w:val="single" w:color="auto" w:sz="4" w:space="0"/>
              <w:right w:val="single" w:color="auto" w:sz="4" w:space="0"/>
            </w:tcBorders>
            <w:vAlign w:val="center"/>
          </w:tcPr>
          <w:p>
            <w:pPr>
              <w:jc w:val="center"/>
              <w:rPr>
                <w:rFonts w:ascii="宋体" w:hAnsi="宋体"/>
                <w:b/>
                <w:sz w:val="24"/>
                <w:szCs w:val="24"/>
              </w:rPr>
            </w:pPr>
          </w:p>
        </w:tc>
        <w:tc>
          <w:tcPr>
            <w:tcW w:w="1665" w:type="dxa"/>
            <w:tcBorders>
              <w:top w:val="single" w:color="auto" w:sz="4" w:space="0"/>
              <w:left w:val="single" w:color="auto" w:sz="4" w:space="0"/>
              <w:right w:val="single" w:color="auto" w:sz="4" w:space="0"/>
            </w:tcBorders>
            <w:vAlign w:val="center"/>
          </w:tcPr>
          <w:p>
            <w:pPr>
              <w:spacing w:line="312" w:lineRule="auto"/>
              <w:jc w:val="center"/>
              <w:rPr>
                <w:rFonts w:ascii="宋体" w:hAnsi="宋体"/>
                <w:bCs/>
                <w:sz w:val="24"/>
                <w:szCs w:val="24"/>
              </w:rPr>
            </w:pPr>
            <w:r>
              <w:rPr>
                <w:rFonts w:hint="eastAsia" w:ascii="宋体" w:hAnsi="宋体"/>
                <w:bCs/>
                <w:sz w:val="24"/>
                <w:szCs w:val="24"/>
              </w:rPr>
              <w:t>车辆信息</w:t>
            </w:r>
          </w:p>
        </w:tc>
        <w:tc>
          <w:tcPr>
            <w:tcW w:w="6881" w:type="dxa"/>
            <w:gridSpan w:val="2"/>
            <w:tcBorders>
              <w:top w:val="single" w:color="auto" w:sz="4" w:space="0"/>
              <w:left w:val="single" w:color="auto" w:sz="4" w:space="0"/>
              <w:right w:val="single" w:color="auto" w:sz="4" w:space="0"/>
            </w:tcBorders>
            <w:vAlign w:val="center"/>
          </w:tcPr>
          <w:p>
            <w:pPr>
              <w:spacing w:line="360" w:lineRule="exact"/>
              <w:rPr>
                <w:rFonts w:ascii="宋体" w:hAnsi="宋体" w:cs="宋体"/>
                <w:sz w:val="24"/>
                <w:szCs w:val="24"/>
              </w:rPr>
            </w:pPr>
            <w:r>
              <w:rPr>
                <w:rFonts w:hint="eastAsia" w:ascii="宋体" w:hAnsi="宋体" w:cs="宋体"/>
                <w:color w:val="auto"/>
                <w:sz w:val="24"/>
                <w:szCs w:val="24"/>
              </w:rPr>
              <w:t>注册日期：2015.04，品牌型号：昌河牌CH6391BG21，车辆所有人：益阳市纳诺老年公寓发展有限公司，此车车辆行驶证与登记证遗失，相关信息竞买人自行了解，委托人与拍卖公司不承担瑕疵担保责任。违章：待查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exact"/>
          <w:jc w:val="center"/>
        </w:trPr>
        <w:tc>
          <w:tcPr>
            <w:tcW w:w="981" w:type="dxa"/>
            <w:vMerge w:val="continue"/>
            <w:tcBorders>
              <w:left w:val="single" w:color="auto" w:sz="4" w:space="0"/>
              <w:right w:val="single" w:color="auto" w:sz="4" w:space="0"/>
            </w:tcBorders>
            <w:vAlign w:val="center"/>
          </w:tcPr>
          <w:p>
            <w:pPr>
              <w:jc w:val="center"/>
              <w:rPr>
                <w:rFonts w:ascii="宋体" w:hAnsi="宋体"/>
                <w:b/>
                <w:sz w:val="24"/>
                <w:szCs w:val="24"/>
              </w:rPr>
            </w:pPr>
          </w:p>
        </w:tc>
        <w:tc>
          <w:tcPr>
            <w:tcW w:w="1665" w:type="dxa"/>
            <w:tcBorders>
              <w:top w:val="single" w:color="auto" w:sz="4" w:space="0"/>
              <w:left w:val="single" w:color="auto" w:sz="4" w:space="0"/>
              <w:right w:val="single" w:color="auto" w:sz="4" w:space="0"/>
            </w:tcBorders>
            <w:vAlign w:val="center"/>
          </w:tcPr>
          <w:p>
            <w:pPr>
              <w:spacing w:line="312" w:lineRule="auto"/>
              <w:jc w:val="center"/>
              <w:rPr>
                <w:rFonts w:ascii="宋体" w:hAnsi="宋体"/>
                <w:bCs/>
                <w:sz w:val="24"/>
                <w:szCs w:val="24"/>
              </w:rPr>
            </w:pPr>
            <w:r>
              <w:rPr>
                <w:rFonts w:hint="eastAsia" w:ascii="宋体" w:hAnsi="宋体"/>
                <w:bCs/>
                <w:sz w:val="24"/>
                <w:szCs w:val="24"/>
              </w:rPr>
              <w:t>标的2、</w:t>
            </w:r>
          </w:p>
        </w:tc>
        <w:tc>
          <w:tcPr>
            <w:tcW w:w="6881" w:type="dxa"/>
            <w:gridSpan w:val="2"/>
            <w:tcBorders>
              <w:top w:val="single" w:color="auto" w:sz="4" w:space="0"/>
              <w:left w:val="single" w:color="auto" w:sz="4" w:space="0"/>
              <w:right w:val="single" w:color="auto" w:sz="4" w:space="0"/>
            </w:tcBorders>
            <w:vAlign w:val="center"/>
          </w:tcPr>
          <w:p>
            <w:pPr>
              <w:spacing w:line="360" w:lineRule="exact"/>
              <w:rPr>
                <w:rFonts w:ascii="宋体" w:hAnsi="宋体" w:cs="宋体"/>
                <w:sz w:val="24"/>
                <w:szCs w:val="24"/>
              </w:rPr>
            </w:pPr>
            <w:r>
              <w:rPr>
                <w:rFonts w:hint="eastAsia" w:ascii="宋体" w:hAnsi="宋体"/>
                <w:sz w:val="24"/>
                <w:szCs w:val="24"/>
              </w:rPr>
              <w:t>湘H29808金旅牌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exact"/>
          <w:jc w:val="center"/>
        </w:trPr>
        <w:tc>
          <w:tcPr>
            <w:tcW w:w="981" w:type="dxa"/>
            <w:vMerge w:val="continue"/>
            <w:tcBorders>
              <w:left w:val="single" w:color="auto" w:sz="4" w:space="0"/>
              <w:right w:val="single" w:color="auto" w:sz="4" w:space="0"/>
            </w:tcBorders>
            <w:vAlign w:val="center"/>
          </w:tcPr>
          <w:p>
            <w:pPr>
              <w:jc w:val="center"/>
              <w:rPr>
                <w:rFonts w:ascii="宋体" w:hAnsi="宋体"/>
                <w:b/>
                <w:sz w:val="24"/>
                <w:szCs w:val="24"/>
              </w:rPr>
            </w:pPr>
          </w:p>
        </w:tc>
        <w:tc>
          <w:tcPr>
            <w:tcW w:w="1665" w:type="dxa"/>
            <w:tcBorders>
              <w:top w:val="single" w:color="auto" w:sz="4" w:space="0"/>
              <w:left w:val="single" w:color="auto" w:sz="4" w:space="0"/>
              <w:right w:val="single" w:color="auto" w:sz="4" w:space="0"/>
            </w:tcBorders>
            <w:vAlign w:val="center"/>
          </w:tcPr>
          <w:p>
            <w:pPr>
              <w:spacing w:line="312" w:lineRule="auto"/>
              <w:jc w:val="center"/>
              <w:rPr>
                <w:rFonts w:ascii="宋体" w:hAnsi="宋体"/>
                <w:bCs/>
                <w:sz w:val="24"/>
                <w:szCs w:val="24"/>
              </w:rPr>
            </w:pPr>
            <w:r>
              <w:rPr>
                <w:rFonts w:hint="eastAsia" w:ascii="宋体" w:hAnsi="宋体"/>
                <w:bCs/>
                <w:sz w:val="24"/>
                <w:szCs w:val="24"/>
              </w:rPr>
              <w:t>车辆信息</w:t>
            </w:r>
          </w:p>
        </w:tc>
        <w:tc>
          <w:tcPr>
            <w:tcW w:w="6881" w:type="dxa"/>
            <w:gridSpan w:val="2"/>
            <w:tcBorders>
              <w:top w:val="single" w:color="auto" w:sz="4" w:space="0"/>
              <w:left w:val="single" w:color="auto" w:sz="4" w:space="0"/>
              <w:right w:val="single" w:color="auto" w:sz="4" w:space="0"/>
            </w:tcBorders>
            <w:vAlign w:val="center"/>
          </w:tcPr>
          <w:p>
            <w:pPr>
              <w:spacing w:line="360" w:lineRule="exact"/>
              <w:rPr>
                <w:rFonts w:ascii="宋体" w:hAnsi="宋体"/>
                <w:color w:val="auto"/>
                <w:sz w:val="24"/>
                <w:szCs w:val="24"/>
              </w:rPr>
            </w:pPr>
            <w:r>
              <w:rPr>
                <w:rFonts w:hint="eastAsia" w:ascii="宋体" w:hAnsi="宋体" w:cs="宋体"/>
                <w:color w:val="auto"/>
                <w:sz w:val="24"/>
                <w:szCs w:val="24"/>
              </w:rPr>
              <w:t>注册日期：2012.08，品牌型号：金旅牌XML6113J93，车辆识别码：LL3BGCDH4CA002430，发动机号：A68LAC60391，年检：2020.08，保险：过期。登记证书:无 ，违章：无。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exact"/>
          <w:jc w:val="center"/>
        </w:trPr>
        <w:tc>
          <w:tcPr>
            <w:tcW w:w="981" w:type="dxa"/>
            <w:vMerge w:val="continue"/>
            <w:tcBorders>
              <w:left w:val="single" w:color="auto" w:sz="4" w:space="0"/>
              <w:right w:val="single" w:color="auto" w:sz="4" w:space="0"/>
            </w:tcBorders>
            <w:vAlign w:val="center"/>
          </w:tcPr>
          <w:p>
            <w:pPr>
              <w:jc w:val="center"/>
              <w:rPr>
                <w:rFonts w:ascii="宋体" w:hAnsi="宋体"/>
                <w:b/>
                <w:sz w:val="24"/>
                <w:szCs w:val="24"/>
              </w:rPr>
            </w:pPr>
          </w:p>
        </w:tc>
        <w:tc>
          <w:tcPr>
            <w:tcW w:w="1665" w:type="dxa"/>
            <w:tcBorders>
              <w:top w:val="single" w:color="auto" w:sz="4" w:space="0"/>
              <w:left w:val="single" w:color="auto" w:sz="4" w:space="0"/>
              <w:right w:val="single" w:color="auto" w:sz="4" w:space="0"/>
            </w:tcBorders>
            <w:vAlign w:val="center"/>
          </w:tcPr>
          <w:p>
            <w:pPr>
              <w:spacing w:line="312" w:lineRule="auto"/>
              <w:jc w:val="center"/>
              <w:rPr>
                <w:rFonts w:ascii="宋体" w:hAnsi="宋体"/>
                <w:bCs/>
                <w:color w:val="FF0000"/>
                <w:sz w:val="24"/>
                <w:szCs w:val="24"/>
              </w:rPr>
            </w:pPr>
            <w:r>
              <w:rPr>
                <w:rFonts w:hint="eastAsia" w:ascii="宋体" w:hAnsi="宋体"/>
                <w:bCs/>
                <w:sz w:val="24"/>
                <w:szCs w:val="24"/>
              </w:rPr>
              <w:t>标的3、</w:t>
            </w:r>
          </w:p>
        </w:tc>
        <w:tc>
          <w:tcPr>
            <w:tcW w:w="6881" w:type="dxa"/>
            <w:gridSpan w:val="2"/>
            <w:tcBorders>
              <w:top w:val="single" w:color="auto" w:sz="4" w:space="0"/>
              <w:left w:val="single" w:color="auto" w:sz="4" w:space="0"/>
              <w:right w:val="single" w:color="auto" w:sz="4" w:space="0"/>
            </w:tcBorders>
            <w:vAlign w:val="center"/>
          </w:tcPr>
          <w:p>
            <w:pPr>
              <w:spacing w:line="360" w:lineRule="exact"/>
              <w:rPr>
                <w:rFonts w:ascii="宋体" w:hAnsi="宋体" w:cs="宋体"/>
                <w:color w:val="auto"/>
                <w:sz w:val="24"/>
                <w:szCs w:val="24"/>
              </w:rPr>
            </w:pPr>
            <w:r>
              <w:rPr>
                <w:rFonts w:hint="eastAsia"/>
                <w:color w:val="auto"/>
                <w:sz w:val="24"/>
                <w:szCs w:val="24"/>
              </w:rPr>
              <w:t>湘HK1908</w:t>
            </w:r>
            <w:r>
              <w:rPr>
                <w:rFonts w:hint="eastAsia" w:ascii="宋体" w:hAnsi="宋体"/>
                <w:color w:val="auto"/>
                <w:sz w:val="24"/>
                <w:szCs w:val="24"/>
              </w:rPr>
              <w:t>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exact"/>
          <w:jc w:val="center"/>
        </w:trPr>
        <w:tc>
          <w:tcPr>
            <w:tcW w:w="981" w:type="dxa"/>
            <w:vMerge w:val="continue"/>
            <w:tcBorders>
              <w:left w:val="single" w:color="auto" w:sz="4" w:space="0"/>
              <w:right w:val="single" w:color="auto" w:sz="4" w:space="0"/>
            </w:tcBorders>
            <w:vAlign w:val="center"/>
          </w:tcPr>
          <w:p>
            <w:pPr>
              <w:jc w:val="center"/>
              <w:rPr>
                <w:rFonts w:ascii="宋体" w:hAnsi="宋体"/>
                <w:b/>
                <w:sz w:val="24"/>
                <w:szCs w:val="24"/>
              </w:rPr>
            </w:pPr>
          </w:p>
        </w:tc>
        <w:tc>
          <w:tcPr>
            <w:tcW w:w="1665" w:type="dxa"/>
            <w:tcBorders>
              <w:top w:val="single" w:color="auto" w:sz="4" w:space="0"/>
              <w:left w:val="single" w:color="auto" w:sz="4" w:space="0"/>
              <w:right w:val="single" w:color="auto" w:sz="4" w:space="0"/>
            </w:tcBorders>
            <w:vAlign w:val="center"/>
          </w:tcPr>
          <w:p>
            <w:pPr>
              <w:spacing w:line="312" w:lineRule="auto"/>
              <w:jc w:val="center"/>
              <w:rPr>
                <w:rFonts w:ascii="宋体" w:hAnsi="宋体"/>
                <w:bCs/>
                <w:sz w:val="24"/>
                <w:szCs w:val="24"/>
              </w:rPr>
            </w:pPr>
            <w:r>
              <w:rPr>
                <w:rFonts w:hint="eastAsia" w:ascii="宋体" w:hAnsi="宋体"/>
                <w:bCs/>
                <w:sz w:val="24"/>
                <w:szCs w:val="24"/>
              </w:rPr>
              <w:t>车辆信息</w:t>
            </w:r>
          </w:p>
        </w:tc>
        <w:tc>
          <w:tcPr>
            <w:tcW w:w="6881" w:type="dxa"/>
            <w:gridSpan w:val="2"/>
            <w:tcBorders>
              <w:top w:val="single" w:color="auto" w:sz="4" w:space="0"/>
              <w:left w:val="single" w:color="auto" w:sz="4" w:space="0"/>
              <w:right w:val="single" w:color="auto" w:sz="4" w:space="0"/>
            </w:tcBorders>
            <w:vAlign w:val="center"/>
          </w:tcPr>
          <w:p>
            <w:pPr>
              <w:spacing w:line="360" w:lineRule="exact"/>
              <w:rPr>
                <w:color w:val="auto"/>
                <w:sz w:val="24"/>
                <w:szCs w:val="24"/>
              </w:rPr>
            </w:pPr>
            <w:r>
              <w:rPr>
                <w:rFonts w:hint="eastAsia" w:ascii="宋体" w:hAnsi="宋体" w:cs="宋体"/>
                <w:color w:val="auto"/>
                <w:sz w:val="24"/>
                <w:szCs w:val="24"/>
              </w:rPr>
              <w:t xml:space="preserve">注册日期：2016.03，品牌型号：雷诺VF1VYRKT，车辆识别码：VF1VYRKT5FC566767，发动机号：M4RK737N437142，年检：2020.03，保险：过期。登记证书:无。违章：扣9分，罚款：300元。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exact"/>
          <w:jc w:val="center"/>
        </w:trPr>
        <w:tc>
          <w:tcPr>
            <w:tcW w:w="981" w:type="dxa"/>
            <w:vMerge w:val="continue"/>
            <w:tcBorders>
              <w:left w:val="single" w:color="auto" w:sz="4" w:space="0"/>
              <w:right w:val="single" w:color="auto" w:sz="4" w:space="0"/>
            </w:tcBorders>
            <w:vAlign w:val="center"/>
          </w:tcPr>
          <w:p>
            <w:pPr>
              <w:jc w:val="center"/>
              <w:rPr>
                <w:rFonts w:ascii="宋体" w:hAnsi="宋体"/>
                <w:b/>
                <w:sz w:val="24"/>
                <w:szCs w:val="24"/>
              </w:rPr>
            </w:pPr>
          </w:p>
        </w:tc>
        <w:tc>
          <w:tcPr>
            <w:tcW w:w="1665" w:type="dxa"/>
            <w:tcBorders>
              <w:top w:val="single" w:color="auto" w:sz="4" w:space="0"/>
              <w:left w:val="single" w:color="auto" w:sz="4" w:space="0"/>
              <w:right w:val="single" w:color="auto" w:sz="4" w:space="0"/>
            </w:tcBorders>
            <w:vAlign w:val="center"/>
          </w:tcPr>
          <w:p>
            <w:pPr>
              <w:spacing w:line="312" w:lineRule="auto"/>
              <w:jc w:val="center"/>
              <w:rPr>
                <w:rFonts w:ascii="宋体" w:hAnsi="宋体"/>
                <w:bCs/>
                <w:sz w:val="24"/>
                <w:szCs w:val="24"/>
              </w:rPr>
            </w:pPr>
            <w:r>
              <w:rPr>
                <w:rFonts w:hint="eastAsia" w:ascii="宋体" w:hAnsi="宋体"/>
                <w:bCs/>
                <w:sz w:val="24"/>
                <w:szCs w:val="24"/>
              </w:rPr>
              <w:t>瑕疵说明</w:t>
            </w:r>
          </w:p>
        </w:tc>
        <w:tc>
          <w:tcPr>
            <w:tcW w:w="6881" w:type="dxa"/>
            <w:gridSpan w:val="2"/>
            <w:tcBorders>
              <w:top w:val="single" w:color="auto" w:sz="4" w:space="0"/>
              <w:left w:val="single" w:color="auto" w:sz="4" w:space="0"/>
              <w:right w:val="single" w:color="auto" w:sz="4" w:space="0"/>
            </w:tcBorders>
          </w:tcPr>
          <w:p>
            <w:pPr>
              <w:spacing w:line="360" w:lineRule="exact"/>
              <w:rPr>
                <w:rFonts w:ascii="宋体" w:hAnsi="宋体" w:cs="宋体"/>
                <w:color w:val="auto"/>
                <w:sz w:val="24"/>
                <w:szCs w:val="24"/>
              </w:rPr>
            </w:pPr>
            <w:r>
              <w:rPr>
                <w:rFonts w:hint="eastAsia" w:ascii="宋体" w:hAnsi="宋体" w:cs="宋体"/>
                <w:color w:val="auto"/>
                <w:sz w:val="24"/>
                <w:szCs w:val="24"/>
              </w:rPr>
              <w:t>车辆停放时间长，均按现状拍卖，车况、性能、违章、罚款等自行了解，本公司不承担瑕疵担保责任。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exact"/>
          <w:jc w:val="center"/>
        </w:trPr>
        <w:tc>
          <w:tcPr>
            <w:tcW w:w="981" w:type="dxa"/>
            <w:vMerge w:val="continue"/>
            <w:tcBorders>
              <w:left w:val="single" w:color="auto" w:sz="4" w:space="0"/>
              <w:right w:val="single" w:color="auto" w:sz="4" w:space="0"/>
            </w:tcBorders>
            <w:vAlign w:val="center"/>
          </w:tcPr>
          <w:p>
            <w:pPr>
              <w:jc w:val="center"/>
              <w:rPr>
                <w:rFonts w:ascii="宋体" w:hAnsi="宋体"/>
                <w:b/>
                <w:sz w:val="24"/>
                <w:szCs w:val="24"/>
              </w:rPr>
            </w:pPr>
          </w:p>
        </w:tc>
        <w:tc>
          <w:tcPr>
            <w:tcW w:w="1665" w:type="dxa"/>
            <w:tcBorders>
              <w:top w:val="single" w:color="auto" w:sz="4" w:space="0"/>
              <w:left w:val="single" w:color="auto" w:sz="4" w:space="0"/>
              <w:right w:val="single" w:color="auto" w:sz="4" w:space="0"/>
            </w:tcBorders>
            <w:vAlign w:val="center"/>
          </w:tcPr>
          <w:p>
            <w:pPr>
              <w:spacing w:line="312" w:lineRule="auto"/>
              <w:jc w:val="center"/>
              <w:rPr>
                <w:rFonts w:ascii="宋体" w:hAnsi="宋体"/>
                <w:b/>
                <w:sz w:val="24"/>
                <w:szCs w:val="24"/>
              </w:rPr>
            </w:pPr>
            <w:r>
              <w:rPr>
                <w:rFonts w:hint="eastAsia" w:ascii="宋体" w:hAnsi="宋体"/>
                <w:bCs/>
                <w:sz w:val="24"/>
                <w:szCs w:val="24"/>
              </w:rPr>
              <w:t>车辆放置位置、标的踏勘与报名</w:t>
            </w:r>
          </w:p>
        </w:tc>
        <w:tc>
          <w:tcPr>
            <w:tcW w:w="6881" w:type="dxa"/>
            <w:gridSpan w:val="2"/>
            <w:tcBorders>
              <w:top w:val="single" w:color="auto" w:sz="4" w:space="0"/>
              <w:left w:val="single" w:color="auto" w:sz="4" w:space="0"/>
              <w:right w:val="single" w:color="auto" w:sz="4" w:space="0"/>
            </w:tcBorders>
            <w:vAlign w:val="center"/>
          </w:tcPr>
          <w:p>
            <w:pPr>
              <w:spacing w:line="360" w:lineRule="exact"/>
              <w:rPr>
                <w:rFonts w:ascii="宋体" w:hAnsi="宋体" w:cs="宋体"/>
                <w:color w:val="auto"/>
                <w:sz w:val="24"/>
                <w:szCs w:val="24"/>
              </w:rPr>
            </w:pPr>
            <w:r>
              <w:rPr>
                <w:rFonts w:hint="eastAsia" w:ascii="宋体" w:hAnsi="宋体" w:cs="宋体"/>
                <w:color w:val="auto"/>
                <w:sz w:val="24"/>
                <w:szCs w:val="24"/>
                <w:lang w:eastAsia="zh-CN"/>
              </w:rPr>
              <w:t>长春派出所</w:t>
            </w:r>
            <w:r>
              <w:rPr>
                <w:rFonts w:hint="eastAsia" w:ascii="宋体" w:hAnsi="宋体" w:cs="宋体"/>
                <w:color w:val="auto"/>
                <w:sz w:val="24"/>
                <w:szCs w:val="24"/>
              </w:rPr>
              <w:t>院内</w:t>
            </w:r>
          </w:p>
          <w:p>
            <w:pPr>
              <w:spacing w:line="360" w:lineRule="exact"/>
              <w:rPr>
                <w:rFonts w:ascii="宋体" w:hAnsi="宋体" w:cs="宋体"/>
                <w:sz w:val="24"/>
                <w:szCs w:val="24"/>
              </w:rPr>
            </w:pPr>
            <w:r>
              <w:rPr>
                <w:rFonts w:hint="eastAsia" w:ascii="宋体" w:hAnsi="宋体" w:cs="宋体"/>
                <w:sz w:val="24"/>
                <w:szCs w:val="24"/>
              </w:rPr>
              <w:t>踏勘标的时间：2020年10月27日10时-16时止，</w:t>
            </w:r>
          </w:p>
          <w:p>
            <w:pPr>
              <w:spacing w:line="360" w:lineRule="exact"/>
              <w:rPr>
                <w:rFonts w:ascii="宋体" w:hAnsi="宋体" w:cs="宋体"/>
                <w:sz w:val="24"/>
                <w:szCs w:val="24"/>
              </w:rPr>
            </w:pPr>
            <w:r>
              <w:rPr>
                <w:rFonts w:hint="eastAsia" w:ascii="宋体" w:hAnsi="宋体" w:cs="宋体"/>
                <w:sz w:val="24"/>
                <w:szCs w:val="24"/>
              </w:rPr>
              <w:t>报名时间：2020年10月14日9时-2020年10月28日14：30。</w:t>
            </w:r>
          </w:p>
          <w:p>
            <w:pPr>
              <w:spacing w:line="3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exact"/>
          <w:jc w:val="center"/>
        </w:trPr>
        <w:tc>
          <w:tcPr>
            <w:tcW w:w="9527"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b/>
                <w:sz w:val="24"/>
                <w:szCs w:val="24"/>
              </w:rPr>
              <w:t>三、交易条件与竞买人资格条件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exact"/>
          <w:jc w:val="center"/>
        </w:trPr>
        <w:tc>
          <w:tcPr>
            <w:tcW w:w="981" w:type="dxa"/>
            <w:tcBorders>
              <w:top w:val="single" w:color="auto" w:sz="4" w:space="0"/>
              <w:left w:val="single" w:color="auto" w:sz="4" w:space="0"/>
              <w:right w:val="single" w:color="auto" w:sz="4" w:space="0"/>
            </w:tcBorders>
            <w:vAlign w:val="center"/>
          </w:tcPr>
          <w:p>
            <w:pPr>
              <w:jc w:val="center"/>
              <w:rPr>
                <w:rFonts w:ascii="宋体" w:hAnsi="宋体"/>
                <w:b/>
                <w:sz w:val="24"/>
                <w:szCs w:val="24"/>
              </w:rPr>
            </w:pPr>
            <w:r>
              <w:rPr>
                <w:rFonts w:hint="eastAsia" w:ascii="宋体" w:hAnsi="宋体"/>
                <w:b/>
                <w:sz w:val="24"/>
                <w:szCs w:val="24"/>
              </w:rPr>
              <w:t>交易</w:t>
            </w:r>
          </w:p>
          <w:p>
            <w:pPr>
              <w:jc w:val="center"/>
              <w:rPr>
                <w:rFonts w:ascii="宋体" w:hAnsi="宋体"/>
                <w:b/>
                <w:sz w:val="24"/>
                <w:szCs w:val="24"/>
              </w:rPr>
            </w:pPr>
            <w:r>
              <w:rPr>
                <w:rFonts w:hint="eastAsia" w:ascii="宋体" w:hAnsi="宋体"/>
                <w:b/>
                <w:sz w:val="24"/>
                <w:szCs w:val="24"/>
              </w:rPr>
              <w:t>条件</w:t>
            </w:r>
          </w:p>
        </w:tc>
        <w:tc>
          <w:tcPr>
            <w:tcW w:w="2160" w:type="dxa"/>
            <w:gridSpan w:val="2"/>
            <w:tcBorders>
              <w:top w:val="single" w:color="auto" w:sz="4" w:space="0"/>
              <w:left w:val="single" w:color="auto" w:sz="4" w:space="0"/>
              <w:right w:val="single" w:color="auto" w:sz="4" w:space="0"/>
            </w:tcBorders>
            <w:vAlign w:val="center"/>
          </w:tcPr>
          <w:p>
            <w:pPr>
              <w:pStyle w:val="11"/>
              <w:spacing w:before="0" w:after="0"/>
              <w:jc w:val="center"/>
              <w:rPr>
                <w:rFonts w:ascii="宋体" w:hAnsi="宋体"/>
                <w:b/>
                <w:szCs w:val="24"/>
              </w:rPr>
            </w:pPr>
            <w:r>
              <w:rPr>
                <w:rFonts w:hint="eastAsia" w:ascii="宋体" w:hAnsi="宋体"/>
                <w:b/>
                <w:szCs w:val="24"/>
              </w:rPr>
              <w:t>拍卖挂牌底价</w:t>
            </w:r>
          </w:p>
          <w:p>
            <w:pPr>
              <w:pStyle w:val="11"/>
              <w:spacing w:before="0" w:after="0"/>
              <w:jc w:val="center"/>
              <w:rPr>
                <w:rFonts w:ascii="宋体" w:hAnsi="宋体"/>
                <w:b/>
                <w:szCs w:val="24"/>
              </w:rPr>
            </w:pPr>
            <w:r>
              <w:rPr>
                <w:rFonts w:hint="eastAsia" w:ascii="宋体" w:hAnsi="宋体"/>
                <w:b/>
                <w:szCs w:val="24"/>
              </w:rPr>
              <w:t>（金额：人民币）</w:t>
            </w:r>
          </w:p>
        </w:tc>
        <w:tc>
          <w:tcPr>
            <w:tcW w:w="6386"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left"/>
              <w:rPr>
                <w:rFonts w:ascii="宋体" w:hAnsi="宋体"/>
                <w:sz w:val="24"/>
                <w:szCs w:val="24"/>
              </w:rPr>
            </w:pPr>
            <w:r>
              <w:rPr>
                <w:rFonts w:hint="eastAsia" w:ascii="宋体" w:hAnsi="宋体"/>
                <w:sz w:val="24"/>
                <w:szCs w:val="24"/>
              </w:rPr>
              <w:t>标的1: 湘H0W300：9400.00元</w:t>
            </w:r>
          </w:p>
          <w:p>
            <w:pPr>
              <w:pStyle w:val="10"/>
              <w:ind w:firstLine="0" w:firstLineChars="0"/>
              <w:jc w:val="left"/>
              <w:rPr>
                <w:rFonts w:ascii="宋体" w:hAnsi="宋体"/>
                <w:sz w:val="24"/>
                <w:szCs w:val="24"/>
              </w:rPr>
            </w:pPr>
            <w:r>
              <w:rPr>
                <w:rFonts w:hint="eastAsia" w:ascii="宋体" w:hAnsi="宋体"/>
                <w:sz w:val="24"/>
                <w:szCs w:val="24"/>
              </w:rPr>
              <w:t>标的2：湘H29808：35000.00元</w:t>
            </w:r>
          </w:p>
          <w:p>
            <w:pPr>
              <w:pStyle w:val="10"/>
              <w:ind w:firstLine="0" w:firstLineChars="0"/>
              <w:jc w:val="left"/>
              <w:rPr>
                <w:rFonts w:ascii="宋体" w:hAnsi="宋体"/>
                <w:sz w:val="24"/>
                <w:szCs w:val="24"/>
              </w:rPr>
            </w:pPr>
            <w:r>
              <w:rPr>
                <w:rFonts w:hint="eastAsia" w:ascii="宋体" w:hAnsi="宋体"/>
                <w:sz w:val="24"/>
                <w:szCs w:val="24"/>
              </w:rPr>
              <w:t>标的3：</w:t>
            </w:r>
            <w:r>
              <w:rPr>
                <w:rFonts w:hint="eastAsia"/>
                <w:sz w:val="24"/>
                <w:szCs w:val="24"/>
              </w:rPr>
              <w:t>湘HK1908</w:t>
            </w:r>
            <w:r>
              <w:rPr>
                <w:rFonts w:hint="eastAsia" w:ascii="宋体" w:hAnsi="宋体"/>
                <w:sz w:val="24"/>
                <w:szCs w:val="24"/>
              </w:rPr>
              <w:t>：93000.00元</w:t>
            </w:r>
          </w:p>
          <w:p>
            <w:pPr>
              <w:pStyle w:val="10"/>
              <w:ind w:firstLine="0" w:firstLineChars="0"/>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981" w:type="dxa"/>
            <w:tcBorders>
              <w:left w:val="single" w:color="auto" w:sz="4" w:space="0"/>
              <w:right w:val="single" w:color="auto" w:sz="4" w:space="0"/>
            </w:tcBorders>
            <w:vAlign w:val="center"/>
          </w:tcPr>
          <w:p>
            <w:pPr>
              <w:widowControl/>
              <w:jc w:val="center"/>
              <w:rPr>
                <w:rFonts w:ascii="宋体" w:hAnsi="宋体"/>
                <w:b/>
                <w:sz w:val="24"/>
                <w:szCs w:val="24"/>
              </w:rPr>
            </w:pPr>
            <w:r>
              <w:rPr>
                <w:rFonts w:hint="eastAsia" w:ascii="宋体" w:hAnsi="宋体"/>
                <w:b/>
                <w:sz w:val="24"/>
                <w:szCs w:val="24"/>
              </w:rPr>
              <w:t>意向竞买人资格条件</w:t>
            </w:r>
          </w:p>
        </w:tc>
        <w:tc>
          <w:tcPr>
            <w:tcW w:w="854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pPr>
            <w:r>
              <w:rPr>
                <w:rFonts w:hint="eastAsia" w:ascii="宋体" w:hAnsi="宋体" w:cs="宋体"/>
                <w:sz w:val="24"/>
                <w:szCs w:val="24"/>
              </w:rPr>
              <w:t>中华人民共和国境内外的企业经济实体、其他组织或个人（法律有规定的除外）均可参加竞买。</w:t>
            </w:r>
          </w:p>
        </w:tc>
      </w:tr>
    </w:tbl>
    <w:p/>
    <w:p/>
    <w:p/>
    <w:tbl>
      <w:tblPr>
        <w:tblStyle w:val="5"/>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8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5" w:hRule="atLeast"/>
          <w:jc w:val="center"/>
        </w:trPr>
        <w:tc>
          <w:tcPr>
            <w:tcW w:w="1053" w:type="dxa"/>
            <w:tcBorders>
              <w:left w:val="single" w:color="auto" w:sz="4" w:space="0"/>
              <w:right w:val="single" w:color="auto" w:sz="4" w:space="0"/>
            </w:tcBorders>
            <w:vAlign w:val="center"/>
          </w:tcPr>
          <w:p>
            <w:pPr>
              <w:widowControl/>
              <w:spacing w:line="400" w:lineRule="exact"/>
              <w:jc w:val="center"/>
              <w:rPr>
                <w:rFonts w:ascii="宋体" w:hAnsi="宋体"/>
                <w:b/>
                <w:sz w:val="24"/>
                <w:szCs w:val="24"/>
              </w:rPr>
            </w:pPr>
            <w:r>
              <w:rPr>
                <w:rFonts w:hint="eastAsia" w:ascii="宋体" w:hAnsi="宋体"/>
                <w:b/>
                <w:sz w:val="24"/>
                <w:szCs w:val="24"/>
              </w:rPr>
              <w:t>相关其他条件</w:t>
            </w:r>
          </w:p>
        </w:tc>
        <w:tc>
          <w:tcPr>
            <w:tcW w:w="8426" w:type="dxa"/>
            <w:tcBorders>
              <w:top w:val="single" w:color="auto" w:sz="4" w:space="0"/>
              <w:left w:val="single" w:color="auto" w:sz="4" w:space="0"/>
              <w:bottom w:val="single" w:color="auto" w:sz="4" w:space="0"/>
              <w:right w:val="single" w:color="auto" w:sz="4" w:space="0"/>
            </w:tcBorders>
          </w:tcPr>
          <w:p>
            <w:pPr>
              <w:widowControl/>
              <w:shd w:val="clear" w:color="auto" w:fill="FFFFFF"/>
              <w:spacing w:line="320" w:lineRule="exact"/>
              <w:ind w:firstLine="629"/>
              <w:rPr>
                <w:rFonts w:ascii="宋体" w:hAnsi="宋体"/>
                <w:szCs w:val="21"/>
              </w:rPr>
            </w:pPr>
            <w:r>
              <w:rPr>
                <w:rFonts w:hint="eastAsia" w:ascii="宋体" w:hAnsi="宋体"/>
                <w:szCs w:val="21"/>
              </w:rPr>
              <w:t>1、符合资格的意向竞买人在本公告期间内将相对应标的的竞买保证金汇入益阳市公共资源交易中心指定账户，拍卖保证金账户获取方式：意向竞买人请参照益阳市公共资源交易中心网站-下载专区中《交易业务管理系统产权交易操作手册1.0》自行注册，使用已注册的账号登录交易业务管理系统对标的进行报名并在系统中获取对应标的拍卖保证金子账号。在操作过程中，应正确填写用户基本信息并在保证金截止时间以内向保证金子账号汇入保证金。已缴纳保证金的用户，可在系统内对应项目（标的）下点击“查询”按钮，查询是否缴纳成功（缴纳保证金的银行账户户名须与系统注册用户的户名保持一致，否则无法查询)。</w:t>
            </w:r>
          </w:p>
          <w:p>
            <w:pPr>
              <w:pStyle w:val="11"/>
              <w:spacing w:before="0" w:after="0" w:line="320" w:lineRule="exact"/>
              <w:ind w:firstLine="420" w:firstLineChars="200"/>
              <w:rPr>
                <w:rFonts w:ascii="宋体" w:hAnsi="宋体"/>
                <w:color w:val="auto"/>
                <w:sz w:val="21"/>
                <w:szCs w:val="21"/>
              </w:rPr>
            </w:pPr>
            <w:r>
              <w:rPr>
                <w:rFonts w:hint="eastAsia" w:ascii="宋体" w:hAnsi="宋体"/>
                <w:color w:val="FF0000"/>
                <w:sz w:val="21"/>
                <w:szCs w:val="21"/>
              </w:rPr>
              <w:t>2、意向竞买人一旦报名成功就说明完全了解标的并认可且需参与报价，因挂牌价就是拍卖底价（其他竞价人已报价或有更高报价的，本项保证失效）。</w:t>
            </w:r>
            <w:r>
              <w:rPr>
                <w:rFonts w:hint="eastAsia" w:ascii="宋体" w:hAnsi="宋体"/>
                <w:color w:val="auto"/>
                <w:sz w:val="21"/>
                <w:szCs w:val="21"/>
              </w:rPr>
              <w:t>否则，</w:t>
            </w:r>
            <w:r>
              <w:rPr>
                <w:rFonts w:hint="eastAsia" w:ascii="宋体" w:hAnsi="宋体"/>
                <w:b/>
                <w:bCs/>
                <w:color w:val="auto"/>
                <w:sz w:val="21"/>
                <w:szCs w:val="21"/>
              </w:rPr>
              <w:t>意向竞买人报名交纳的竞买保证金会作为拍卖佣金及交易服务费扣除，如有剩余作为向委托方支付的违约金不予退还</w:t>
            </w:r>
            <w:r>
              <w:rPr>
                <w:rFonts w:hint="eastAsia" w:ascii="宋体" w:hAnsi="宋体"/>
                <w:color w:val="auto"/>
                <w:sz w:val="21"/>
                <w:szCs w:val="21"/>
              </w:rPr>
              <w:t>。</w:t>
            </w:r>
          </w:p>
          <w:p>
            <w:pPr>
              <w:pStyle w:val="11"/>
              <w:spacing w:before="0" w:after="0" w:line="320" w:lineRule="exact"/>
              <w:ind w:firstLine="420" w:firstLineChars="200"/>
              <w:rPr>
                <w:rFonts w:ascii="宋体" w:hAnsi="宋体"/>
                <w:sz w:val="21"/>
                <w:szCs w:val="21"/>
              </w:rPr>
            </w:pPr>
            <w:r>
              <w:rPr>
                <w:rFonts w:hint="eastAsia" w:ascii="宋体" w:hAnsi="宋体"/>
                <w:color w:val="auto"/>
                <w:sz w:val="21"/>
                <w:szCs w:val="21"/>
              </w:rPr>
              <w:t>3、本次拍卖采取网络竞价（动</w:t>
            </w:r>
            <w:r>
              <w:rPr>
                <w:rFonts w:hint="eastAsia" w:ascii="宋体" w:hAnsi="宋体"/>
                <w:sz w:val="21"/>
                <w:szCs w:val="21"/>
              </w:rPr>
              <w:t>态报价）方式确定竞买人。意向竞买人成为竞买人，则上述交易保证金不抵成交款，待成交价款、拍卖佣金、交易服务费交清且车辆过户后3个工作日内无息退还竞买人，如竞买人因自身原因退出本次交易或者拒绝在被确定为竞买人后的次日起3日内与拍卖人签署《网络竞价成交确定书》的，则竞买保证金在扣除拍卖佣金及交易服务费后作为向委托方支付的违约金不予退还；未成功的意向竞买人交纳的竞买保证金三个工作日内全额无息退还。</w:t>
            </w:r>
          </w:p>
          <w:p>
            <w:pPr>
              <w:pStyle w:val="11"/>
              <w:spacing w:before="0" w:after="0" w:line="320" w:lineRule="exact"/>
              <w:ind w:firstLine="420" w:firstLineChars="200"/>
              <w:rPr>
                <w:rFonts w:ascii="宋体" w:hAnsi="宋体"/>
                <w:sz w:val="21"/>
                <w:szCs w:val="21"/>
              </w:rPr>
            </w:pPr>
            <w:r>
              <w:rPr>
                <w:rFonts w:hint="eastAsia" w:ascii="宋体" w:hAnsi="宋体"/>
                <w:sz w:val="21"/>
                <w:szCs w:val="21"/>
              </w:rPr>
              <w:t>4、该车辆以实物现状拍卖，意向竞买人应自行了解标的的情况，一经报名，即视作完全了解标的已存在的或可能存在的瑕疵，且愿意承担标的瑕疵可能造成的一切责任、风险和损失。</w:t>
            </w:r>
          </w:p>
          <w:p>
            <w:pPr>
              <w:pStyle w:val="11"/>
              <w:spacing w:before="0" w:after="0" w:line="320" w:lineRule="exact"/>
              <w:ind w:firstLine="420" w:firstLineChars="200"/>
              <w:rPr>
                <w:rFonts w:ascii="宋体" w:hAnsi="宋体"/>
                <w:sz w:val="21"/>
                <w:szCs w:val="21"/>
              </w:rPr>
            </w:pPr>
            <w:r>
              <w:rPr>
                <w:rFonts w:hint="eastAsia" w:ascii="宋体" w:hAnsi="宋体"/>
                <w:sz w:val="21"/>
                <w:szCs w:val="21"/>
              </w:rPr>
              <w:t>5、竞买人需在竞得标的后当日到益阳市拍卖有限公司签订《网络竞价成交确定书》，成交之日起3日内（按上述约定）将拍卖成交款、拍卖佣金、交易服务费等一次性汇入益阳市公共资源交易中心指定账户：</w:t>
            </w:r>
          </w:p>
          <w:p>
            <w:pPr>
              <w:pStyle w:val="11"/>
              <w:spacing w:before="0" w:after="0" w:line="320" w:lineRule="exact"/>
              <w:ind w:firstLine="420" w:firstLineChars="200"/>
              <w:rPr>
                <w:rFonts w:ascii="宋体" w:hAnsi="宋体"/>
                <w:sz w:val="21"/>
                <w:szCs w:val="21"/>
              </w:rPr>
            </w:pPr>
            <w:r>
              <w:rPr>
                <w:rFonts w:hint="eastAsia" w:ascii="宋体" w:hAnsi="宋体"/>
                <w:sz w:val="21"/>
                <w:szCs w:val="21"/>
              </w:rPr>
              <w:t xml:space="preserve">账户名称：益阳市公共资源交易中心  </w:t>
            </w:r>
          </w:p>
          <w:p>
            <w:pPr>
              <w:pStyle w:val="11"/>
              <w:spacing w:before="0" w:after="0" w:line="320" w:lineRule="exact"/>
              <w:ind w:firstLine="420" w:firstLineChars="200"/>
              <w:rPr>
                <w:rFonts w:ascii="宋体" w:hAnsi="宋体"/>
                <w:sz w:val="21"/>
                <w:szCs w:val="21"/>
              </w:rPr>
            </w:pPr>
            <w:r>
              <w:rPr>
                <w:rFonts w:hint="eastAsia" w:ascii="宋体" w:hAnsi="宋体"/>
                <w:sz w:val="21"/>
                <w:szCs w:val="21"/>
              </w:rPr>
              <w:t>开户银行：益阳市农村商业银行股份有限公司资源分理处</w:t>
            </w:r>
          </w:p>
          <w:p>
            <w:pPr>
              <w:pStyle w:val="11"/>
              <w:spacing w:before="0" w:after="0" w:line="320" w:lineRule="exact"/>
              <w:ind w:firstLine="420" w:firstLineChars="200"/>
              <w:rPr>
                <w:rFonts w:ascii="宋体" w:hAnsi="宋体"/>
                <w:sz w:val="21"/>
                <w:szCs w:val="21"/>
              </w:rPr>
            </w:pPr>
            <w:r>
              <w:rPr>
                <w:rFonts w:hint="eastAsia" w:ascii="宋体" w:hAnsi="宋体"/>
                <w:sz w:val="21"/>
                <w:szCs w:val="21"/>
              </w:rPr>
              <w:t>账 号：820126500000112890001</w:t>
            </w:r>
          </w:p>
          <w:p>
            <w:pPr>
              <w:spacing w:line="340" w:lineRule="exact"/>
              <w:ind w:firstLine="420" w:firstLineChars="200"/>
              <w:rPr>
                <w:rFonts w:ascii="宋体" w:hAnsi="宋体" w:cs="宋体"/>
                <w:szCs w:val="21"/>
              </w:rPr>
            </w:pPr>
            <w:r>
              <w:rPr>
                <w:rFonts w:hint="eastAsia" w:ascii="宋体" w:hAnsi="宋体"/>
                <w:szCs w:val="21"/>
              </w:rPr>
              <w:t>6、</w:t>
            </w:r>
            <w:r>
              <w:rPr>
                <w:rFonts w:hint="eastAsia" w:ascii="宋体" w:hAnsi="宋体" w:cs="宋体"/>
                <w:szCs w:val="21"/>
              </w:rPr>
              <w:t>竞买人须承担本次交易中拍卖佣金及交易服务费，拍卖佣金按成交总金额的5%收取。交易服务费收取按：湘发改价费〔2019〕366号文件，1000万元以下（含1000万）收费2000元/宗，此次交易服务费由委托方与买受人各支付1000元。</w:t>
            </w:r>
          </w:p>
        </w:tc>
      </w:tr>
      <w:bookmarkEnd w:id="0"/>
      <w:bookmarkEnd w:id="1"/>
    </w:tbl>
    <w:p>
      <w:pPr>
        <w:widowControl/>
        <w:snapToGrid w:val="0"/>
        <w:spacing w:line="360" w:lineRule="exact"/>
        <w:rPr>
          <w:rFonts w:ascii="宋体" w:hAnsi="宋体" w:cs="宋体"/>
          <w:b/>
          <w:kern w:val="0"/>
          <w:sz w:val="30"/>
          <w:szCs w:val="30"/>
        </w:rPr>
      </w:pPr>
    </w:p>
    <w:tbl>
      <w:tblPr>
        <w:tblStyle w:val="5"/>
        <w:tblW w:w="9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43"/>
        <w:gridCol w:w="1142"/>
        <w:gridCol w:w="978"/>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exact"/>
          <w:jc w:val="center"/>
        </w:trPr>
        <w:tc>
          <w:tcPr>
            <w:tcW w:w="1075" w:type="dxa"/>
            <w:vMerge w:val="restart"/>
            <w:tcBorders>
              <w:top w:val="single" w:color="auto" w:sz="4" w:space="0"/>
              <w:left w:val="single" w:color="auto" w:sz="4" w:space="0"/>
              <w:right w:val="single" w:color="auto" w:sz="4" w:space="0"/>
            </w:tcBorders>
            <w:vAlign w:val="center"/>
          </w:tcPr>
          <w:p>
            <w:pPr>
              <w:jc w:val="center"/>
              <w:rPr>
                <w:rFonts w:ascii="宋体" w:hAnsi="宋体"/>
                <w:b/>
                <w:sz w:val="24"/>
                <w:szCs w:val="24"/>
              </w:rPr>
            </w:pPr>
            <w:r>
              <w:rPr>
                <w:rFonts w:hint="eastAsia" w:ascii="宋体" w:hAnsi="宋体"/>
                <w:b/>
                <w:sz w:val="24"/>
                <w:szCs w:val="24"/>
              </w:rPr>
              <w:t>竞价保证金设定</w:t>
            </w:r>
          </w:p>
        </w:tc>
        <w:tc>
          <w:tcPr>
            <w:tcW w:w="2263" w:type="dxa"/>
            <w:gridSpan w:val="3"/>
            <w:tcBorders>
              <w:top w:val="single" w:color="auto" w:sz="4" w:space="0"/>
              <w:left w:val="single" w:color="auto" w:sz="4" w:space="0"/>
              <w:bottom w:val="single" w:color="auto" w:sz="4" w:space="0"/>
              <w:right w:val="single" w:color="auto" w:sz="4" w:space="0"/>
            </w:tcBorders>
            <w:vAlign w:val="center"/>
          </w:tcPr>
          <w:p>
            <w:pPr>
              <w:pStyle w:val="11"/>
              <w:spacing w:before="0" w:after="0"/>
              <w:ind w:left="434" w:hanging="434" w:hangingChars="180"/>
              <w:rPr>
                <w:rFonts w:ascii="宋体" w:hAnsi="宋体"/>
                <w:b/>
                <w:szCs w:val="24"/>
              </w:rPr>
            </w:pPr>
            <w:r>
              <w:rPr>
                <w:rFonts w:hint="eastAsia" w:ascii="宋体" w:hAnsi="宋体"/>
                <w:b/>
                <w:szCs w:val="24"/>
              </w:rPr>
              <w:t>交纳金额（人民币）</w:t>
            </w:r>
          </w:p>
        </w:tc>
        <w:tc>
          <w:tcPr>
            <w:tcW w:w="632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szCs w:val="24"/>
              </w:rPr>
            </w:pPr>
            <w:r>
              <w:rPr>
                <w:rFonts w:hint="eastAsia" w:ascii="宋体" w:hAnsi="宋体" w:cs="仿宋"/>
                <w:color w:val="auto"/>
                <w:szCs w:val="21"/>
                <w:shd w:val="clear" w:color="auto" w:fill="FFFFFF"/>
              </w:rPr>
              <w:t>10000.00元/台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exact"/>
          <w:jc w:val="center"/>
        </w:trPr>
        <w:tc>
          <w:tcPr>
            <w:tcW w:w="1075" w:type="dxa"/>
            <w:vMerge w:val="continue"/>
            <w:tcBorders>
              <w:left w:val="single" w:color="auto" w:sz="4" w:space="0"/>
              <w:right w:val="single" w:color="auto" w:sz="4" w:space="0"/>
            </w:tcBorders>
            <w:vAlign w:val="center"/>
          </w:tcPr>
          <w:p>
            <w:pPr>
              <w:jc w:val="center"/>
              <w:rPr>
                <w:rFonts w:ascii="宋体" w:hAnsi="宋体"/>
                <w:b/>
                <w:sz w:val="24"/>
                <w:szCs w:val="24"/>
              </w:rPr>
            </w:pPr>
          </w:p>
        </w:tc>
        <w:tc>
          <w:tcPr>
            <w:tcW w:w="2263" w:type="dxa"/>
            <w:gridSpan w:val="3"/>
            <w:tcBorders>
              <w:top w:val="single" w:color="auto" w:sz="4" w:space="0"/>
              <w:left w:val="single" w:color="auto" w:sz="4" w:space="0"/>
              <w:bottom w:val="single" w:color="auto" w:sz="4" w:space="0"/>
              <w:right w:val="single" w:color="auto" w:sz="4" w:space="0"/>
            </w:tcBorders>
            <w:vAlign w:val="center"/>
          </w:tcPr>
          <w:p>
            <w:pPr>
              <w:pStyle w:val="11"/>
              <w:spacing w:before="0" w:after="0"/>
              <w:ind w:left="434" w:hanging="434" w:hangingChars="180"/>
              <w:rPr>
                <w:rFonts w:ascii="宋体" w:hAnsi="宋体"/>
                <w:b/>
                <w:szCs w:val="24"/>
              </w:rPr>
            </w:pPr>
            <w:r>
              <w:rPr>
                <w:rFonts w:hint="eastAsia" w:ascii="宋体" w:hAnsi="宋体"/>
                <w:b/>
                <w:szCs w:val="24"/>
              </w:rPr>
              <w:t>交纳时间与</w:t>
            </w:r>
          </w:p>
          <w:p>
            <w:pPr>
              <w:pStyle w:val="11"/>
              <w:spacing w:before="0" w:after="0"/>
              <w:ind w:left="434" w:hanging="434" w:hangingChars="180"/>
              <w:rPr>
                <w:rFonts w:ascii="宋体" w:hAnsi="宋体"/>
                <w:b/>
                <w:szCs w:val="24"/>
              </w:rPr>
            </w:pPr>
            <w:r>
              <w:rPr>
                <w:rFonts w:hint="eastAsia" w:ascii="宋体" w:hAnsi="宋体"/>
                <w:b/>
                <w:szCs w:val="24"/>
              </w:rPr>
              <w:t>报名时间</w:t>
            </w:r>
          </w:p>
        </w:tc>
        <w:tc>
          <w:tcPr>
            <w:tcW w:w="6323" w:type="dxa"/>
            <w:tcBorders>
              <w:top w:val="single" w:color="auto" w:sz="4" w:space="0"/>
              <w:left w:val="single" w:color="auto" w:sz="4" w:space="0"/>
              <w:bottom w:val="single" w:color="auto" w:sz="4" w:space="0"/>
              <w:right w:val="single" w:color="auto" w:sz="4" w:space="0"/>
            </w:tcBorders>
            <w:vAlign w:val="center"/>
          </w:tcPr>
          <w:p>
            <w:pPr>
              <w:pStyle w:val="11"/>
              <w:ind w:left="432" w:hanging="432" w:hangingChars="180"/>
              <w:jc w:val="left"/>
              <w:rPr>
                <w:rFonts w:ascii="宋体" w:hAnsi="宋体"/>
                <w:bCs/>
                <w:szCs w:val="24"/>
              </w:rPr>
            </w:pPr>
            <w:r>
              <w:rPr>
                <w:rFonts w:hint="eastAsia" w:ascii="宋体" w:hAnsi="宋体"/>
                <w:szCs w:val="24"/>
              </w:rPr>
              <w:t>2020年10月14日9:00至2020年10月28日14：30时</w:t>
            </w:r>
            <w:r>
              <w:rPr>
                <w:rFonts w:hint="eastAsia" w:ascii="宋体" w:hAnsi="宋体"/>
                <w:bCs/>
                <w:szCs w:val="24"/>
              </w:rPr>
              <w:t>。</w:t>
            </w:r>
          </w:p>
          <w:p>
            <w:pPr>
              <w:pStyle w:val="11"/>
              <w:ind w:left="432" w:hanging="432" w:hangingChars="180"/>
              <w:jc w:val="left"/>
              <w:rPr>
                <w:rFonts w:ascii="宋体" w:hAnsi="宋体" w:cs="宋体"/>
                <w:szCs w:val="24"/>
              </w:rPr>
            </w:pPr>
            <w:r>
              <w:rPr>
                <w:rFonts w:hint="eastAsia" w:ascii="宋体" w:hAnsi="宋体" w:cs="宋体"/>
                <w:szCs w:val="24"/>
              </w:rPr>
              <w:t>(</w:t>
            </w:r>
            <w:r>
              <w:rPr>
                <w:rFonts w:hint="eastAsia" w:ascii="宋体" w:hAnsi="宋体" w:cs="宋体"/>
                <w:szCs w:val="24"/>
                <w:shd w:val="clear" w:color="auto" w:fill="FFFFFF"/>
              </w:rPr>
              <w:t>以到账时间为准，该时间也是竞价报名的截止时间)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9661" w:type="dxa"/>
            <w:gridSpan w:val="5"/>
            <w:tcBorders>
              <w:left w:val="single" w:color="auto" w:sz="4" w:space="0"/>
              <w:right w:val="single" w:color="auto" w:sz="4" w:space="0"/>
            </w:tcBorders>
            <w:vAlign w:val="center"/>
          </w:tcPr>
          <w:p>
            <w:pPr>
              <w:rPr>
                <w:rFonts w:ascii="宋体" w:hAnsi="宋体"/>
                <w:b/>
                <w:sz w:val="24"/>
                <w:szCs w:val="24"/>
              </w:rPr>
            </w:pPr>
            <w:r>
              <w:rPr>
                <w:rFonts w:hint="eastAsia" w:ascii="宋体" w:hAnsi="宋体"/>
                <w:b/>
                <w:sz w:val="24"/>
                <w:szCs w:val="24"/>
              </w:rPr>
              <w:t>四、委托方简况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exact"/>
          <w:jc w:val="center"/>
        </w:trPr>
        <w:tc>
          <w:tcPr>
            <w:tcW w:w="2360" w:type="dxa"/>
            <w:gridSpan w:val="3"/>
            <w:tcBorders>
              <w:left w:val="single" w:color="auto" w:sz="4" w:space="0"/>
              <w:right w:val="single" w:color="auto" w:sz="4" w:space="0"/>
            </w:tcBorders>
            <w:vAlign w:val="center"/>
          </w:tcPr>
          <w:p>
            <w:pPr>
              <w:rPr>
                <w:rFonts w:ascii="宋体" w:hAnsi="宋体"/>
                <w:b/>
                <w:sz w:val="24"/>
                <w:szCs w:val="24"/>
              </w:rPr>
            </w:pPr>
            <w:r>
              <w:rPr>
                <w:rFonts w:hint="eastAsia" w:ascii="宋体" w:hAnsi="宋体"/>
                <w:b/>
                <w:sz w:val="24"/>
                <w:szCs w:val="24"/>
              </w:rPr>
              <w:t>委托方</w:t>
            </w:r>
            <w:r>
              <w:rPr>
                <w:rFonts w:ascii="宋体" w:hAnsi="宋体"/>
                <w:b/>
                <w:sz w:val="24"/>
                <w:szCs w:val="24"/>
              </w:rPr>
              <w:t>名称</w:t>
            </w:r>
          </w:p>
        </w:tc>
        <w:tc>
          <w:tcPr>
            <w:tcW w:w="7301" w:type="dxa"/>
            <w:gridSpan w:val="2"/>
            <w:tcBorders>
              <w:left w:val="single" w:color="auto" w:sz="4" w:space="0"/>
              <w:right w:val="single" w:color="auto" w:sz="4" w:space="0"/>
            </w:tcBorders>
            <w:vAlign w:val="center"/>
          </w:tcPr>
          <w:p>
            <w:pPr>
              <w:rPr>
                <w:rFonts w:ascii="宋体" w:hAnsi="宋体"/>
                <w:b/>
                <w:sz w:val="24"/>
                <w:szCs w:val="24"/>
              </w:rPr>
            </w:pPr>
            <w:r>
              <w:rPr>
                <w:rFonts w:hint="eastAsia" w:ascii="宋体" w:hAnsi="宋体"/>
                <w:sz w:val="24"/>
                <w:szCs w:val="24"/>
                <w:shd w:val="clear" w:color="auto" w:fill="FFFFFF"/>
              </w:rPr>
              <w:t>益阳市公安局资阳分局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exact"/>
          <w:jc w:val="center"/>
        </w:trPr>
        <w:tc>
          <w:tcPr>
            <w:tcW w:w="2360" w:type="dxa"/>
            <w:gridSpan w:val="3"/>
            <w:tcBorders>
              <w:left w:val="single" w:color="auto" w:sz="4" w:space="0"/>
              <w:right w:val="single" w:color="auto" w:sz="4" w:space="0"/>
            </w:tcBorders>
            <w:vAlign w:val="center"/>
          </w:tcPr>
          <w:p>
            <w:pPr>
              <w:rPr>
                <w:rFonts w:ascii="宋体" w:hAnsi="宋体"/>
                <w:b/>
                <w:sz w:val="24"/>
                <w:szCs w:val="24"/>
              </w:rPr>
            </w:pPr>
            <w:r>
              <w:rPr>
                <w:rFonts w:hint="eastAsia" w:ascii="宋体" w:hAnsi="宋体"/>
                <w:b/>
                <w:sz w:val="24"/>
                <w:szCs w:val="24"/>
              </w:rPr>
              <w:t>统一社会信用代码</w:t>
            </w:r>
          </w:p>
        </w:tc>
        <w:tc>
          <w:tcPr>
            <w:tcW w:w="7301" w:type="dxa"/>
            <w:gridSpan w:val="2"/>
            <w:tcBorders>
              <w:left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114309000064669791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exact"/>
          <w:jc w:val="center"/>
        </w:trPr>
        <w:tc>
          <w:tcPr>
            <w:tcW w:w="2360" w:type="dxa"/>
            <w:gridSpan w:val="3"/>
            <w:tcBorders>
              <w:left w:val="single" w:color="auto" w:sz="4" w:space="0"/>
              <w:right w:val="single" w:color="auto" w:sz="4" w:space="0"/>
            </w:tcBorders>
            <w:vAlign w:val="center"/>
          </w:tcPr>
          <w:p>
            <w:pPr>
              <w:rPr>
                <w:rFonts w:ascii="宋体" w:hAnsi="宋体"/>
                <w:b/>
                <w:sz w:val="24"/>
                <w:szCs w:val="24"/>
              </w:rPr>
            </w:pPr>
            <w:r>
              <w:rPr>
                <w:rFonts w:ascii="宋体" w:hAnsi="宋体"/>
                <w:b/>
                <w:sz w:val="24"/>
                <w:szCs w:val="24"/>
              </w:rPr>
              <w:t>注册地（住所）</w:t>
            </w:r>
          </w:p>
        </w:tc>
        <w:tc>
          <w:tcPr>
            <w:tcW w:w="7301" w:type="dxa"/>
            <w:gridSpan w:val="2"/>
            <w:tcBorders>
              <w:left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 xml:space="preserve"> 益阳市五一西路532号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9661" w:type="dxa"/>
            <w:gridSpan w:val="5"/>
            <w:tcBorders>
              <w:left w:val="single" w:color="auto" w:sz="4" w:space="0"/>
              <w:right w:val="single" w:color="auto" w:sz="4" w:space="0"/>
            </w:tcBorders>
            <w:vAlign w:val="center"/>
          </w:tcPr>
          <w:p>
            <w:pPr>
              <w:rPr>
                <w:rFonts w:ascii="宋体" w:hAnsi="宋体"/>
                <w:sz w:val="24"/>
                <w:szCs w:val="24"/>
                <w:u w:val="single"/>
              </w:rPr>
            </w:pPr>
            <w:r>
              <w:rPr>
                <w:rFonts w:hint="eastAsia" w:ascii="宋体" w:hAnsi="宋体"/>
                <w:b/>
                <w:sz w:val="24"/>
                <w:szCs w:val="24"/>
              </w:rPr>
              <w:t>五、拍卖信息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218" w:type="dxa"/>
            <w:gridSpan w:val="2"/>
            <w:tcBorders>
              <w:left w:val="single" w:color="auto" w:sz="4" w:space="0"/>
              <w:right w:val="single" w:color="auto" w:sz="4" w:space="0"/>
            </w:tcBorders>
            <w:vAlign w:val="center"/>
          </w:tcPr>
          <w:p>
            <w:pPr>
              <w:pStyle w:val="11"/>
              <w:jc w:val="center"/>
              <w:rPr>
                <w:rFonts w:ascii="宋体" w:hAnsi="宋体"/>
                <w:b/>
                <w:bCs/>
                <w:szCs w:val="24"/>
              </w:rPr>
            </w:pPr>
            <w:r>
              <w:rPr>
                <w:rFonts w:hint="eastAsia" w:ascii="宋体" w:hAnsi="宋体"/>
                <w:b/>
                <w:bCs/>
                <w:szCs w:val="24"/>
              </w:rPr>
              <w:t>挂牌</w:t>
            </w:r>
          </w:p>
          <w:p>
            <w:pPr>
              <w:pStyle w:val="11"/>
              <w:jc w:val="center"/>
              <w:rPr>
                <w:bCs/>
                <w:szCs w:val="24"/>
              </w:rPr>
            </w:pPr>
            <w:r>
              <w:rPr>
                <w:rFonts w:ascii="宋体" w:hAnsi="宋体"/>
                <w:b/>
                <w:bCs/>
                <w:szCs w:val="24"/>
              </w:rPr>
              <w:t>公告期</w:t>
            </w:r>
          </w:p>
        </w:tc>
        <w:tc>
          <w:tcPr>
            <w:tcW w:w="8443" w:type="dxa"/>
            <w:gridSpan w:val="3"/>
            <w:tcBorders>
              <w:left w:val="single" w:color="auto" w:sz="4" w:space="0"/>
              <w:right w:val="single" w:color="auto" w:sz="4" w:space="0"/>
            </w:tcBorders>
            <w:vAlign w:val="center"/>
          </w:tcPr>
          <w:p>
            <w:pPr>
              <w:pStyle w:val="11"/>
              <w:ind w:left="432" w:hanging="432" w:hangingChars="180"/>
              <w:jc w:val="left"/>
              <w:rPr>
                <w:rFonts w:ascii="宋体" w:hAnsi="宋体"/>
                <w:bCs/>
                <w:szCs w:val="24"/>
              </w:rPr>
            </w:pPr>
            <w:r>
              <w:rPr>
                <w:rFonts w:hint="eastAsia" w:ascii="宋体" w:hAnsi="宋体"/>
                <w:szCs w:val="24"/>
              </w:rPr>
              <w:t>2020年10月14日9:00至2020年10月28日14：30时</w:t>
            </w:r>
            <w:r>
              <w:rPr>
                <w:rFonts w:hint="eastAsia" w:ascii="宋体" w:hAnsi="宋体"/>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2" w:hRule="atLeast"/>
          <w:jc w:val="center"/>
        </w:trPr>
        <w:tc>
          <w:tcPr>
            <w:tcW w:w="1218" w:type="dxa"/>
            <w:gridSpan w:val="2"/>
            <w:tcBorders>
              <w:left w:val="single" w:color="auto" w:sz="4" w:space="0"/>
              <w:right w:val="single" w:color="auto" w:sz="4" w:space="0"/>
            </w:tcBorders>
            <w:vAlign w:val="center"/>
          </w:tcPr>
          <w:p>
            <w:pPr>
              <w:pStyle w:val="11"/>
              <w:jc w:val="center"/>
              <w:rPr>
                <w:rFonts w:ascii="宋体" w:hAnsi="宋体"/>
                <w:b/>
                <w:bCs/>
                <w:color w:val="000000"/>
                <w:szCs w:val="24"/>
              </w:rPr>
            </w:pPr>
            <w:r>
              <w:rPr>
                <w:rFonts w:hint="eastAsia" w:ascii="宋体" w:hAnsi="宋体"/>
                <w:b/>
                <w:bCs/>
                <w:color w:val="000000"/>
                <w:szCs w:val="24"/>
              </w:rPr>
              <w:t>公告</w:t>
            </w:r>
            <w:r>
              <w:rPr>
                <w:rFonts w:ascii="宋体" w:hAnsi="宋体"/>
                <w:b/>
                <w:bCs/>
                <w:color w:val="000000"/>
                <w:szCs w:val="24"/>
              </w:rPr>
              <w:t>期满后</w:t>
            </w:r>
            <w:r>
              <w:rPr>
                <w:rFonts w:hint="eastAsia" w:ascii="宋体" w:hAnsi="宋体"/>
                <w:b/>
                <w:bCs/>
                <w:color w:val="000000"/>
                <w:szCs w:val="24"/>
              </w:rPr>
              <w:t>，</w:t>
            </w:r>
            <w:r>
              <w:rPr>
                <w:rFonts w:ascii="宋体" w:hAnsi="宋体"/>
                <w:b/>
                <w:bCs/>
                <w:color w:val="000000"/>
                <w:szCs w:val="24"/>
              </w:rPr>
              <w:t>如未征集到意向竞</w:t>
            </w:r>
            <w:r>
              <w:rPr>
                <w:rFonts w:hint="eastAsia" w:ascii="宋体" w:hAnsi="宋体"/>
                <w:b/>
                <w:bCs/>
                <w:color w:val="000000"/>
                <w:szCs w:val="24"/>
              </w:rPr>
              <w:t>买</w:t>
            </w:r>
            <w:r>
              <w:rPr>
                <w:rFonts w:ascii="宋体" w:hAnsi="宋体"/>
                <w:b/>
                <w:bCs/>
                <w:color w:val="000000"/>
                <w:szCs w:val="24"/>
              </w:rPr>
              <w:t>人</w:t>
            </w:r>
          </w:p>
        </w:tc>
        <w:tc>
          <w:tcPr>
            <w:tcW w:w="8443" w:type="dxa"/>
            <w:gridSpan w:val="3"/>
            <w:tcBorders>
              <w:left w:val="single" w:color="auto" w:sz="4" w:space="0"/>
              <w:right w:val="single" w:color="auto" w:sz="4" w:space="0"/>
            </w:tcBorders>
            <w:vAlign w:val="center"/>
          </w:tcPr>
          <w:p>
            <w:pPr>
              <w:pStyle w:val="11"/>
              <w:spacing w:line="240" w:lineRule="exact"/>
              <w:rPr>
                <w:rFonts w:ascii="宋体" w:hAnsi="宋体"/>
                <w:bCs/>
                <w:color w:val="000000"/>
                <w:szCs w:val="24"/>
              </w:rPr>
            </w:pPr>
            <w:r>
              <w:rPr>
                <w:rFonts w:hint="eastAsia" w:ascii="宋体" w:hAnsi="宋体"/>
                <w:color w:val="000000"/>
                <w:szCs w:val="24"/>
              </w:rPr>
              <w:t>变更公告内容,重新申请信息发布。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8" w:type="dxa"/>
            <w:gridSpan w:val="2"/>
            <w:tcBorders>
              <w:left w:val="single" w:color="auto" w:sz="4" w:space="0"/>
              <w:right w:val="single" w:color="auto" w:sz="4" w:space="0"/>
            </w:tcBorders>
            <w:vAlign w:val="center"/>
          </w:tcPr>
          <w:p>
            <w:pPr>
              <w:pStyle w:val="11"/>
              <w:rPr>
                <w:rFonts w:ascii="宋体" w:hAnsi="宋体"/>
                <w:b/>
                <w:bCs/>
                <w:szCs w:val="24"/>
              </w:rPr>
            </w:pPr>
            <w:r>
              <w:rPr>
                <w:rFonts w:ascii="宋体" w:hAnsi="宋体"/>
                <w:b/>
                <w:bCs/>
                <w:szCs w:val="24"/>
              </w:rPr>
              <w:t>交易方式</w:t>
            </w:r>
          </w:p>
        </w:tc>
        <w:tc>
          <w:tcPr>
            <w:tcW w:w="8443" w:type="dxa"/>
            <w:gridSpan w:val="3"/>
            <w:tcBorders>
              <w:left w:val="single" w:color="auto" w:sz="4" w:space="0"/>
              <w:right w:val="single" w:color="auto" w:sz="4" w:space="0"/>
            </w:tcBorders>
            <w:vAlign w:val="center"/>
          </w:tcPr>
          <w:p>
            <w:pPr>
              <w:pStyle w:val="4"/>
              <w:widowControl/>
              <w:shd w:val="clear" w:color="auto" w:fill="FFFFFF"/>
              <w:spacing w:before="0" w:beforeAutospacing="0" w:after="0" w:afterAutospacing="0" w:line="360" w:lineRule="atLeas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定时报价+连续报价，定时报价结束后进入连续报价。</w:t>
            </w:r>
          </w:p>
          <w:p>
            <w:pPr>
              <w:pStyle w:val="4"/>
              <w:widowControl/>
              <w:shd w:val="clear" w:color="auto" w:fill="FFFFFF"/>
              <w:spacing w:before="0" w:beforeAutospacing="0" w:after="0" w:afterAutospacing="0" w:line="360" w:lineRule="atLeast"/>
              <w:rPr>
                <w:rFonts w:ascii="微软雅黑" w:hAnsi="微软雅黑" w:eastAsia="微软雅黑" w:cs="微软雅黑"/>
                <w:color w:val="000000"/>
                <w:sz w:val="21"/>
                <w:szCs w:val="21"/>
                <w:shd w:val="clear" w:color="auto" w:fill="FFFFFF"/>
                <w:lang w:val="zh-CN"/>
              </w:rPr>
            </w:pPr>
            <w:r>
              <w:rPr>
                <w:rFonts w:hint="eastAsia" w:ascii="宋体" w:hAnsi="宋体" w:cs="宋体"/>
                <w:color w:val="000000"/>
                <w:sz w:val="21"/>
                <w:szCs w:val="21"/>
                <w:shd w:val="clear" w:color="auto" w:fill="FFFFFF"/>
              </w:rPr>
              <w:t>连续报价:每轮应价时间4分钟,</w:t>
            </w:r>
            <w:r>
              <w:rPr>
                <w:rFonts w:hint="eastAsia" w:ascii="宋体" w:hAnsi="宋体" w:cs="宋体"/>
                <w:b/>
                <w:bCs/>
                <w:color w:val="000000"/>
                <w:sz w:val="21"/>
                <w:szCs w:val="21"/>
                <w:shd w:val="clear" w:color="auto" w:fill="FFFFFF"/>
              </w:rPr>
              <w:t>详见《竞价文件》（附件1）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218" w:type="dxa"/>
            <w:gridSpan w:val="2"/>
            <w:tcBorders>
              <w:left w:val="single" w:color="auto" w:sz="4" w:space="0"/>
              <w:right w:val="single" w:color="auto" w:sz="4" w:space="0"/>
            </w:tcBorders>
            <w:vAlign w:val="center"/>
          </w:tcPr>
          <w:p>
            <w:pPr>
              <w:pStyle w:val="11"/>
              <w:jc w:val="center"/>
              <w:rPr>
                <w:rFonts w:ascii="宋体" w:hAnsi="宋体"/>
                <w:b/>
                <w:bCs/>
                <w:szCs w:val="24"/>
              </w:rPr>
            </w:pPr>
            <w:r>
              <w:rPr>
                <w:rFonts w:ascii="宋体" w:hAnsi="宋体"/>
                <w:b/>
                <w:bCs/>
                <w:szCs w:val="24"/>
              </w:rPr>
              <w:t>发布媒体名称</w:t>
            </w:r>
          </w:p>
        </w:tc>
        <w:tc>
          <w:tcPr>
            <w:tcW w:w="8443" w:type="dxa"/>
            <w:gridSpan w:val="3"/>
            <w:tcBorders>
              <w:left w:val="single" w:color="auto" w:sz="4" w:space="0"/>
              <w:right w:val="single" w:color="auto" w:sz="4" w:space="0"/>
            </w:tcBorders>
            <w:vAlign w:val="center"/>
          </w:tcPr>
          <w:p>
            <w:pPr>
              <w:pStyle w:val="4"/>
              <w:widowControl/>
              <w:shd w:val="clear" w:color="auto" w:fill="FFFFFF"/>
              <w:spacing w:before="0" w:beforeAutospacing="0" w:after="0" w:afterAutospacing="0" w:line="360" w:lineRule="atLeast"/>
              <w:rPr>
                <w:rFonts w:ascii="宋体" w:hAnsi="宋体" w:cs="宋体"/>
                <w:b/>
                <w:sz w:val="21"/>
                <w:szCs w:val="21"/>
              </w:rPr>
            </w:pPr>
            <w:r>
              <w:rPr>
                <w:rFonts w:hint="eastAsia" w:ascii="宋体" w:hAnsi="宋体" w:cs="宋体"/>
                <w:bCs/>
                <w:color w:val="000000"/>
                <w:sz w:val="21"/>
                <w:szCs w:val="21"/>
                <w:shd w:val="clear" w:color="auto" w:fill="FFFFFF"/>
              </w:rPr>
              <w:t>益阳市公共资源交易中心网站（</w:t>
            </w:r>
            <w:r>
              <w:fldChar w:fldCharType="begin"/>
            </w:r>
            <w:r>
              <w:instrText xml:space="preserve"> HYPERLINK "http://jyzx.yiyang.gov.cn/" </w:instrText>
            </w:r>
            <w:r>
              <w:fldChar w:fldCharType="separate"/>
            </w:r>
            <w:r>
              <w:rPr>
                <w:rStyle w:val="8"/>
                <w:rFonts w:ascii="宋体" w:hAnsi="宋体" w:cs="宋体"/>
                <w:bCs/>
                <w:sz w:val="21"/>
                <w:szCs w:val="21"/>
                <w:shd w:val="clear" w:color="auto" w:fill="FFFFFF"/>
              </w:rPr>
              <w:t>http://jyzx.yiyang.gov.cn/</w:t>
            </w:r>
            <w:r>
              <w:rPr>
                <w:rStyle w:val="8"/>
                <w:rFonts w:ascii="宋体" w:hAnsi="宋体" w:cs="宋体"/>
                <w:bCs/>
                <w:sz w:val="21"/>
                <w:szCs w:val="21"/>
                <w:shd w:val="clear" w:color="auto" w:fill="FFFFFF"/>
              </w:rPr>
              <w:fldChar w:fldCharType="end"/>
            </w:r>
            <w:r>
              <w:rPr>
                <w:rFonts w:hint="eastAsia" w:ascii="宋体" w:hAnsi="宋体" w:cs="宋体"/>
                <w:bCs/>
                <w:color w:val="000000"/>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9661" w:type="dxa"/>
            <w:gridSpan w:val="5"/>
            <w:tcBorders>
              <w:left w:val="single" w:color="auto" w:sz="4" w:space="0"/>
              <w:right w:val="single" w:color="auto" w:sz="4" w:space="0"/>
            </w:tcBorders>
            <w:vAlign w:val="center"/>
          </w:tcPr>
          <w:p>
            <w:pPr>
              <w:pStyle w:val="11"/>
              <w:rPr>
                <w:rFonts w:ascii="宋体" w:hAnsi="宋体"/>
                <w:b/>
                <w:bCs/>
                <w:szCs w:val="24"/>
              </w:rPr>
            </w:pPr>
            <w:r>
              <w:rPr>
                <w:rFonts w:hint="eastAsia" w:ascii="宋体" w:hAnsi="宋体"/>
                <w:b/>
                <w:bCs/>
                <w:szCs w:val="24"/>
              </w:rPr>
              <w:t>六、项目联系方式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9661" w:type="dxa"/>
            <w:gridSpan w:val="5"/>
            <w:tcBorders>
              <w:left w:val="single" w:color="auto" w:sz="4" w:space="0"/>
              <w:right w:val="single" w:color="auto" w:sz="4" w:space="0"/>
            </w:tcBorders>
            <w:vAlign w:val="center"/>
          </w:tcPr>
          <w:p>
            <w:pPr>
              <w:pStyle w:val="11"/>
              <w:rPr>
                <w:rFonts w:ascii="宋体" w:hAnsi="宋体"/>
                <w:bCs/>
                <w:szCs w:val="24"/>
              </w:rPr>
            </w:pPr>
            <w:r>
              <w:rPr>
                <w:rFonts w:hint="eastAsia" w:ascii="宋体" w:hAnsi="宋体"/>
                <w:b/>
                <w:szCs w:val="24"/>
              </w:rPr>
              <w:t>报名、咨询与现场查勘</w:t>
            </w:r>
            <w:r>
              <w:rPr>
                <w:rFonts w:hint="eastAsia" w:ascii="宋体" w:hAnsi="宋体"/>
                <w:bCs/>
                <w:szCs w:val="24"/>
              </w:rPr>
              <w:t xml:space="preserve">：胡女士　0737-4215039　18607376595 </w:t>
            </w:r>
          </w:p>
        </w:tc>
      </w:tr>
    </w:tbl>
    <w:p/>
    <w:p/>
    <w:p>
      <w:pPr>
        <w:ind w:firstLine="6160" w:firstLineChars="2200"/>
        <w:rPr>
          <w:rFonts w:hint="eastAsia"/>
          <w:sz w:val="28"/>
          <w:szCs w:val="28"/>
          <w:lang w:val="en-US" w:eastAsia="zh-CN"/>
        </w:rPr>
      </w:pPr>
      <w:r>
        <w:rPr>
          <w:rFonts w:hint="eastAsia"/>
          <w:sz w:val="28"/>
          <w:szCs w:val="28"/>
          <w:lang w:val="en-US" w:eastAsia="zh-CN"/>
        </w:rPr>
        <w:t>益阳市拍卖有限公司</w:t>
      </w:r>
    </w:p>
    <w:p>
      <w:pPr>
        <w:ind w:firstLine="6160" w:firstLineChars="2200"/>
        <w:rPr>
          <w:rFonts w:hint="default"/>
          <w:sz w:val="28"/>
          <w:szCs w:val="28"/>
          <w:lang w:val="en-US" w:eastAsia="zh-CN"/>
        </w:rPr>
      </w:pPr>
      <w:r>
        <w:rPr>
          <w:rFonts w:hint="eastAsia"/>
          <w:sz w:val="28"/>
          <w:szCs w:val="28"/>
          <w:lang w:val="en-US" w:eastAsia="zh-CN"/>
        </w:rPr>
        <w:t>2020年10月14日</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15C9"/>
    <w:rsid w:val="0002279E"/>
    <w:rsid w:val="00022F32"/>
    <w:rsid w:val="0002363B"/>
    <w:rsid w:val="000278D4"/>
    <w:rsid w:val="00045E12"/>
    <w:rsid w:val="00074C64"/>
    <w:rsid w:val="000D4BCC"/>
    <w:rsid w:val="000E3B15"/>
    <w:rsid w:val="00177BA2"/>
    <w:rsid w:val="001B29AB"/>
    <w:rsid w:val="001E3543"/>
    <w:rsid w:val="001E4F34"/>
    <w:rsid w:val="00211BBC"/>
    <w:rsid w:val="002858B9"/>
    <w:rsid w:val="002D0B88"/>
    <w:rsid w:val="00333BEF"/>
    <w:rsid w:val="00337D85"/>
    <w:rsid w:val="00374A16"/>
    <w:rsid w:val="003D5F59"/>
    <w:rsid w:val="003F3234"/>
    <w:rsid w:val="004800D5"/>
    <w:rsid w:val="004B48DC"/>
    <w:rsid w:val="004E1855"/>
    <w:rsid w:val="004F323A"/>
    <w:rsid w:val="00503BF9"/>
    <w:rsid w:val="005111C3"/>
    <w:rsid w:val="00540F29"/>
    <w:rsid w:val="005416F9"/>
    <w:rsid w:val="005479B5"/>
    <w:rsid w:val="005479D0"/>
    <w:rsid w:val="00574DD7"/>
    <w:rsid w:val="00594499"/>
    <w:rsid w:val="005958FA"/>
    <w:rsid w:val="00595967"/>
    <w:rsid w:val="005B0410"/>
    <w:rsid w:val="005B5ACB"/>
    <w:rsid w:val="005B6C2C"/>
    <w:rsid w:val="005C05AD"/>
    <w:rsid w:val="005D0DAD"/>
    <w:rsid w:val="005D2D29"/>
    <w:rsid w:val="005F4411"/>
    <w:rsid w:val="00657CE1"/>
    <w:rsid w:val="00660165"/>
    <w:rsid w:val="00672F45"/>
    <w:rsid w:val="00681B16"/>
    <w:rsid w:val="006822F1"/>
    <w:rsid w:val="00697BA7"/>
    <w:rsid w:val="006E2628"/>
    <w:rsid w:val="00776D92"/>
    <w:rsid w:val="007F4F95"/>
    <w:rsid w:val="009308E5"/>
    <w:rsid w:val="0093113E"/>
    <w:rsid w:val="00936F47"/>
    <w:rsid w:val="0096351F"/>
    <w:rsid w:val="009678B2"/>
    <w:rsid w:val="00971599"/>
    <w:rsid w:val="009912F6"/>
    <w:rsid w:val="00A015C9"/>
    <w:rsid w:val="00A04FB2"/>
    <w:rsid w:val="00A22517"/>
    <w:rsid w:val="00A2742D"/>
    <w:rsid w:val="00A368CD"/>
    <w:rsid w:val="00A548ED"/>
    <w:rsid w:val="00AC11A0"/>
    <w:rsid w:val="00AE4B9B"/>
    <w:rsid w:val="00AF5977"/>
    <w:rsid w:val="00B1191B"/>
    <w:rsid w:val="00B24D04"/>
    <w:rsid w:val="00B32189"/>
    <w:rsid w:val="00B40A3C"/>
    <w:rsid w:val="00B512AA"/>
    <w:rsid w:val="00B56FF5"/>
    <w:rsid w:val="00B70DD7"/>
    <w:rsid w:val="00C2417B"/>
    <w:rsid w:val="00C34888"/>
    <w:rsid w:val="00C701CC"/>
    <w:rsid w:val="00C752D8"/>
    <w:rsid w:val="00CB2047"/>
    <w:rsid w:val="00DE045B"/>
    <w:rsid w:val="00DE146B"/>
    <w:rsid w:val="00E0158C"/>
    <w:rsid w:val="00E07F09"/>
    <w:rsid w:val="00E114F7"/>
    <w:rsid w:val="00E1409C"/>
    <w:rsid w:val="00E1747F"/>
    <w:rsid w:val="00E21085"/>
    <w:rsid w:val="00E842C4"/>
    <w:rsid w:val="00EF116E"/>
    <w:rsid w:val="00EF20F9"/>
    <w:rsid w:val="00F07F7C"/>
    <w:rsid w:val="00F33FFD"/>
    <w:rsid w:val="00F5172A"/>
    <w:rsid w:val="00FD11AD"/>
    <w:rsid w:val="00FD61AD"/>
    <w:rsid w:val="011456FE"/>
    <w:rsid w:val="017E77ED"/>
    <w:rsid w:val="017F2EFE"/>
    <w:rsid w:val="01A57050"/>
    <w:rsid w:val="01C23054"/>
    <w:rsid w:val="022D0818"/>
    <w:rsid w:val="02AF5AC5"/>
    <w:rsid w:val="032E097B"/>
    <w:rsid w:val="0331331E"/>
    <w:rsid w:val="034222EC"/>
    <w:rsid w:val="03806129"/>
    <w:rsid w:val="038C68DA"/>
    <w:rsid w:val="045C6EBB"/>
    <w:rsid w:val="04755D8C"/>
    <w:rsid w:val="04A44B98"/>
    <w:rsid w:val="05484DF9"/>
    <w:rsid w:val="058E444D"/>
    <w:rsid w:val="05A571FA"/>
    <w:rsid w:val="05E90570"/>
    <w:rsid w:val="060D2141"/>
    <w:rsid w:val="064E1AAF"/>
    <w:rsid w:val="06655966"/>
    <w:rsid w:val="06A43231"/>
    <w:rsid w:val="075325E0"/>
    <w:rsid w:val="07831EF6"/>
    <w:rsid w:val="07C27CF7"/>
    <w:rsid w:val="081C289A"/>
    <w:rsid w:val="08515E2F"/>
    <w:rsid w:val="08D87442"/>
    <w:rsid w:val="09F735BA"/>
    <w:rsid w:val="0A0B4332"/>
    <w:rsid w:val="0AAB1582"/>
    <w:rsid w:val="0AB12280"/>
    <w:rsid w:val="0AB318A5"/>
    <w:rsid w:val="0B391F20"/>
    <w:rsid w:val="0BEB4DA0"/>
    <w:rsid w:val="0C662D3A"/>
    <w:rsid w:val="0C720DF4"/>
    <w:rsid w:val="0C8700B9"/>
    <w:rsid w:val="0C963466"/>
    <w:rsid w:val="0D2D6087"/>
    <w:rsid w:val="0D5F30DB"/>
    <w:rsid w:val="0DA16B5B"/>
    <w:rsid w:val="0DBB080F"/>
    <w:rsid w:val="0DD225A9"/>
    <w:rsid w:val="0DE275C8"/>
    <w:rsid w:val="0E9E42E9"/>
    <w:rsid w:val="0EB77383"/>
    <w:rsid w:val="0EC95CCF"/>
    <w:rsid w:val="0FA60538"/>
    <w:rsid w:val="110C290C"/>
    <w:rsid w:val="1163604D"/>
    <w:rsid w:val="117C7D30"/>
    <w:rsid w:val="118C4EA9"/>
    <w:rsid w:val="11A76007"/>
    <w:rsid w:val="11BB35CE"/>
    <w:rsid w:val="12830EFF"/>
    <w:rsid w:val="12A663C9"/>
    <w:rsid w:val="137D52AE"/>
    <w:rsid w:val="13C67D9E"/>
    <w:rsid w:val="15426FCA"/>
    <w:rsid w:val="155D2A36"/>
    <w:rsid w:val="15E82D0C"/>
    <w:rsid w:val="15FD2D6C"/>
    <w:rsid w:val="160E04B9"/>
    <w:rsid w:val="16640A45"/>
    <w:rsid w:val="166E415B"/>
    <w:rsid w:val="16C747E3"/>
    <w:rsid w:val="1732213D"/>
    <w:rsid w:val="175A4AA6"/>
    <w:rsid w:val="17FE0786"/>
    <w:rsid w:val="18A812B1"/>
    <w:rsid w:val="18C178A4"/>
    <w:rsid w:val="18C54797"/>
    <w:rsid w:val="18E53162"/>
    <w:rsid w:val="19F14D91"/>
    <w:rsid w:val="1A160AA6"/>
    <w:rsid w:val="1AAA3BCE"/>
    <w:rsid w:val="1AB9286C"/>
    <w:rsid w:val="1AD04FD3"/>
    <w:rsid w:val="1AE9185C"/>
    <w:rsid w:val="1AF800E5"/>
    <w:rsid w:val="1B210CF8"/>
    <w:rsid w:val="1B387605"/>
    <w:rsid w:val="1B943E1F"/>
    <w:rsid w:val="1B980B64"/>
    <w:rsid w:val="1BA63876"/>
    <w:rsid w:val="1BB84EE9"/>
    <w:rsid w:val="1BC90A98"/>
    <w:rsid w:val="1BEB2FD3"/>
    <w:rsid w:val="1CB80F1F"/>
    <w:rsid w:val="1CC06586"/>
    <w:rsid w:val="1CCA36FA"/>
    <w:rsid w:val="1CE6010A"/>
    <w:rsid w:val="1D773EC4"/>
    <w:rsid w:val="1E4E5304"/>
    <w:rsid w:val="1EAB1607"/>
    <w:rsid w:val="1EB5582F"/>
    <w:rsid w:val="1F000066"/>
    <w:rsid w:val="1F2F4EF3"/>
    <w:rsid w:val="1F427E36"/>
    <w:rsid w:val="1FCB5836"/>
    <w:rsid w:val="20123782"/>
    <w:rsid w:val="20552E09"/>
    <w:rsid w:val="21412146"/>
    <w:rsid w:val="22A35577"/>
    <w:rsid w:val="22B10025"/>
    <w:rsid w:val="22B73CB7"/>
    <w:rsid w:val="2322485A"/>
    <w:rsid w:val="23297434"/>
    <w:rsid w:val="236433B3"/>
    <w:rsid w:val="245D469D"/>
    <w:rsid w:val="25096F75"/>
    <w:rsid w:val="251D5193"/>
    <w:rsid w:val="258942E8"/>
    <w:rsid w:val="258C27CA"/>
    <w:rsid w:val="25CA6B6B"/>
    <w:rsid w:val="263E1B7D"/>
    <w:rsid w:val="26A11198"/>
    <w:rsid w:val="26C20666"/>
    <w:rsid w:val="277A19C0"/>
    <w:rsid w:val="27BA5EB0"/>
    <w:rsid w:val="27EB1C7A"/>
    <w:rsid w:val="284D253A"/>
    <w:rsid w:val="29B03642"/>
    <w:rsid w:val="2A210AEE"/>
    <w:rsid w:val="2A3E7817"/>
    <w:rsid w:val="2A482CCE"/>
    <w:rsid w:val="2A50791C"/>
    <w:rsid w:val="2A985E7D"/>
    <w:rsid w:val="2ADB0976"/>
    <w:rsid w:val="2B4716E2"/>
    <w:rsid w:val="2B6C5823"/>
    <w:rsid w:val="2BA11E7B"/>
    <w:rsid w:val="2BF915B0"/>
    <w:rsid w:val="2D967455"/>
    <w:rsid w:val="2E451DE8"/>
    <w:rsid w:val="2E674538"/>
    <w:rsid w:val="2F0257C0"/>
    <w:rsid w:val="2F8773A3"/>
    <w:rsid w:val="320B21ED"/>
    <w:rsid w:val="324E69AB"/>
    <w:rsid w:val="32656BD0"/>
    <w:rsid w:val="329F78C8"/>
    <w:rsid w:val="32AF1E85"/>
    <w:rsid w:val="32FA7A87"/>
    <w:rsid w:val="331541FC"/>
    <w:rsid w:val="33194405"/>
    <w:rsid w:val="338013BB"/>
    <w:rsid w:val="34770136"/>
    <w:rsid w:val="347C004A"/>
    <w:rsid w:val="347D2CD8"/>
    <w:rsid w:val="3498641E"/>
    <w:rsid w:val="34DD212A"/>
    <w:rsid w:val="34EF1B55"/>
    <w:rsid w:val="3533734A"/>
    <w:rsid w:val="35694659"/>
    <w:rsid w:val="368407CF"/>
    <w:rsid w:val="3685450C"/>
    <w:rsid w:val="36B97DBD"/>
    <w:rsid w:val="36C37BAF"/>
    <w:rsid w:val="36D44445"/>
    <w:rsid w:val="36D85EF1"/>
    <w:rsid w:val="374A3F8D"/>
    <w:rsid w:val="375E6C1D"/>
    <w:rsid w:val="37B96DF0"/>
    <w:rsid w:val="37C82C5E"/>
    <w:rsid w:val="37DE7D42"/>
    <w:rsid w:val="37FA55D3"/>
    <w:rsid w:val="38F3333D"/>
    <w:rsid w:val="39775FD9"/>
    <w:rsid w:val="39B2298D"/>
    <w:rsid w:val="39B6516B"/>
    <w:rsid w:val="39BC5D5F"/>
    <w:rsid w:val="39CF4670"/>
    <w:rsid w:val="39F71162"/>
    <w:rsid w:val="3ABD5B50"/>
    <w:rsid w:val="3AEA6595"/>
    <w:rsid w:val="3B3235E3"/>
    <w:rsid w:val="3B4156B3"/>
    <w:rsid w:val="3CBD4760"/>
    <w:rsid w:val="3CE8297B"/>
    <w:rsid w:val="3D35676F"/>
    <w:rsid w:val="3D9526EF"/>
    <w:rsid w:val="3DBB026D"/>
    <w:rsid w:val="3DD22C2C"/>
    <w:rsid w:val="3DD53539"/>
    <w:rsid w:val="3E1135B9"/>
    <w:rsid w:val="3E495DF0"/>
    <w:rsid w:val="3E9B1353"/>
    <w:rsid w:val="3E9C0DED"/>
    <w:rsid w:val="3EA17CBB"/>
    <w:rsid w:val="3EB96971"/>
    <w:rsid w:val="3F1A0ED1"/>
    <w:rsid w:val="3F1E28A0"/>
    <w:rsid w:val="3F260910"/>
    <w:rsid w:val="3F5E091D"/>
    <w:rsid w:val="3FD86413"/>
    <w:rsid w:val="40F904AD"/>
    <w:rsid w:val="41913F0D"/>
    <w:rsid w:val="41DC38CF"/>
    <w:rsid w:val="41E61A95"/>
    <w:rsid w:val="41FE34DA"/>
    <w:rsid w:val="420A4776"/>
    <w:rsid w:val="421A57EB"/>
    <w:rsid w:val="42335C26"/>
    <w:rsid w:val="42434E9B"/>
    <w:rsid w:val="42562289"/>
    <w:rsid w:val="432C4ACD"/>
    <w:rsid w:val="436B4264"/>
    <w:rsid w:val="43D60CC4"/>
    <w:rsid w:val="44033BC0"/>
    <w:rsid w:val="442853BB"/>
    <w:rsid w:val="44446C85"/>
    <w:rsid w:val="445579AA"/>
    <w:rsid w:val="448E5ADE"/>
    <w:rsid w:val="44A51146"/>
    <w:rsid w:val="44B00065"/>
    <w:rsid w:val="44BB7799"/>
    <w:rsid w:val="451D3EA5"/>
    <w:rsid w:val="4546758E"/>
    <w:rsid w:val="46042E63"/>
    <w:rsid w:val="467315DC"/>
    <w:rsid w:val="46775864"/>
    <w:rsid w:val="470A6FF9"/>
    <w:rsid w:val="47AC5F8D"/>
    <w:rsid w:val="47BB746D"/>
    <w:rsid w:val="47EF5E1E"/>
    <w:rsid w:val="48260DE3"/>
    <w:rsid w:val="484E4931"/>
    <w:rsid w:val="4902160A"/>
    <w:rsid w:val="490C689E"/>
    <w:rsid w:val="4A075318"/>
    <w:rsid w:val="4A673F4D"/>
    <w:rsid w:val="4B197B0D"/>
    <w:rsid w:val="4B832232"/>
    <w:rsid w:val="4C3707FA"/>
    <w:rsid w:val="4C3930DA"/>
    <w:rsid w:val="4C5A5C3D"/>
    <w:rsid w:val="4C882204"/>
    <w:rsid w:val="4C8841D9"/>
    <w:rsid w:val="4C9451FF"/>
    <w:rsid w:val="4C960A73"/>
    <w:rsid w:val="4CA239BD"/>
    <w:rsid w:val="4D124503"/>
    <w:rsid w:val="4D976734"/>
    <w:rsid w:val="4DE57F0C"/>
    <w:rsid w:val="4E522882"/>
    <w:rsid w:val="4EA7609C"/>
    <w:rsid w:val="4F6E2C73"/>
    <w:rsid w:val="4FA32DF1"/>
    <w:rsid w:val="4FA34744"/>
    <w:rsid w:val="501F3873"/>
    <w:rsid w:val="505A373E"/>
    <w:rsid w:val="50AA6402"/>
    <w:rsid w:val="50E75E3B"/>
    <w:rsid w:val="510A557F"/>
    <w:rsid w:val="51486A44"/>
    <w:rsid w:val="517003C0"/>
    <w:rsid w:val="517073B9"/>
    <w:rsid w:val="51B766C6"/>
    <w:rsid w:val="51C95898"/>
    <w:rsid w:val="51D1062F"/>
    <w:rsid w:val="531E7E29"/>
    <w:rsid w:val="535C6EC3"/>
    <w:rsid w:val="537F7DCE"/>
    <w:rsid w:val="54121089"/>
    <w:rsid w:val="5438461B"/>
    <w:rsid w:val="552F3858"/>
    <w:rsid w:val="55833EA9"/>
    <w:rsid w:val="55A9765E"/>
    <w:rsid w:val="55AC55BC"/>
    <w:rsid w:val="55B95EAC"/>
    <w:rsid w:val="55CA1A87"/>
    <w:rsid w:val="55ED5CFC"/>
    <w:rsid w:val="56224754"/>
    <w:rsid w:val="5636268F"/>
    <w:rsid w:val="565A5406"/>
    <w:rsid w:val="565F5342"/>
    <w:rsid w:val="56682908"/>
    <w:rsid w:val="56751902"/>
    <w:rsid w:val="56E96E50"/>
    <w:rsid w:val="570000F8"/>
    <w:rsid w:val="57320C88"/>
    <w:rsid w:val="58030A4D"/>
    <w:rsid w:val="58784589"/>
    <w:rsid w:val="58C94DF2"/>
    <w:rsid w:val="58FC041F"/>
    <w:rsid w:val="590C5F38"/>
    <w:rsid w:val="59322147"/>
    <w:rsid w:val="594C0F77"/>
    <w:rsid w:val="59531A31"/>
    <w:rsid w:val="5B417438"/>
    <w:rsid w:val="5BDA1D5F"/>
    <w:rsid w:val="5BE53C8F"/>
    <w:rsid w:val="5CAE69F0"/>
    <w:rsid w:val="5CC3139C"/>
    <w:rsid w:val="5CDC701F"/>
    <w:rsid w:val="5D4B48B8"/>
    <w:rsid w:val="5DCD275A"/>
    <w:rsid w:val="5F202F01"/>
    <w:rsid w:val="5F3E5C90"/>
    <w:rsid w:val="5F4A2BF3"/>
    <w:rsid w:val="5FDD12C6"/>
    <w:rsid w:val="5FEB4329"/>
    <w:rsid w:val="5FEF0F6E"/>
    <w:rsid w:val="60352AD2"/>
    <w:rsid w:val="604817BB"/>
    <w:rsid w:val="60AE3F75"/>
    <w:rsid w:val="60B22542"/>
    <w:rsid w:val="610D5458"/>
    <w:rsid w:val="611F3D94"/>
    <w:rsid w:val="612A1B88"/>
    <w:rsid w:val="61787535"/>
    <w:rsid w:val="62237A2E"/>
    <w:rsid w:val="624926EC"/>
    <w:rsid w:val="624D21DB"/>
    <w:rsid w:val="626035E5"/>
    <w:rsid w:val="62A72DE2"/>
    <w:rsid w:val="63391419"/>
    <w:rsid w:val="633B6662"/>
    <w:rsid w:val="63C964DD"/>
    <w:rsid w:val="63CA575A"/>
    <w:rsid w:val="64255F5B"/>
    <w:rsid w:val="64437601"/>
    <w:rsid w:val="64D14144"/>
    <w:rsid w:val="64D318B0"/>
    <w:rsid w:val="65B90C9B"/>
    <w:rsid w:val="6620266E"/>
    <w:rsid w:val="662D4CBD"/>
    <w:rsid w:val="668B2B77"/>
    <w:rsid w:val="66C66402"/>
    <w:rsid w:val="66C865E0"/>
    <w:rsid w:val="671C17A4"/>
    <w:rsid w:val="679C2E0A"/>
    <w:rsid w:val="67DF0D9F"/>
    <w:rsid w:val="68020818"/>
    <w:rsid w:val="6816532C"/>
    <w:rsid w:val="686633AB"/>
    <w:rsid w:val="690B2A31"/>
    <w:rsid w:val="69764893"/>
    <w:rsid w:val="69C26E9C"/>
    <w:rsid w:val="69C65544"/>
    <w:rsid w:val="6A2F6D10"/>
    <w:rsid w:val="6A93138F"/>
    <w:rsid w:val="6AB6103A"/>
    <w:rsid w:val="6BB85F10"/>
    <w:rsid w:val="6BF548BB"/>
    <w:rsid w:val="6C482933"/>
    <w:rsid w:val="6CBA6051"/>
    <w:rsid w:val="6CD04FA9"/>
    <w:rsid w:val="6D313622"/>
    <w:rsid w:val="6DB62924"/>
    <w:rsid w:val="6DC27D1F"/>
    <w:rsid w:val="6DE5319D"/>
    <w:rsid w:val="6EBB3F94"/>
    <w:rsid w:val="6EC45E01"/>
    <w:rsid w:val="6ED80023"/>
    <w:rsid w:val="6F5957EC"/>
    <w:rsid w:val="6F97354B"/>
    <w:rsid w:val="6FCC7BBD"/>
    <w:rsid w:val="70254E01"/>
    <w:rsid w:val="709C2B82"/>
    <w:rsid w:val="716D37CB"/>
    <w:rsid w:val="71E96664"/>
    <w:rsid w:val="72524A7B"/>
    <w:rsid w:val="726F0DAF"/>
    <w:rsid w:val="7288749E"/>
    <w:rsid w:val="728E4BB7"/>
    <w:rsid w:val="73792D90"/>
    <w:rsid w:val="745013E0"/>
    <w:rsid w:val="74DF3487"/>
    <w:rsid w:val="757335CB"/>
    <w:rsid w:val="75985BA2"/>
    <w:rsid w:val="759A5EDF"/>
    <w:rsid w:val="76324013"/>
    <w:rsid w:val="76785F48"/>
    <w:rsid w:val="76E04C6F"/>
    <w:rsid w:val="77C439A9"/>
    <w:rsid w:val="780E5F0E"/>
    <w:rsid w:val="7888368D"/>
    <w:rsid w:val="78B740C5"/>
    <w:rsid w:val="78CA704B"/>
    <w:rsid w:val="796B6B21"/>
    <w:rsid w:val="79A147C6"/>
    <w:rsid w:val="7A394E74"/>
    <w:rsid w:val="7A666EDB"/>
    <w:rsid w:val="7AA91477"/>
    <w:rsid w:val="7AAF06D1"/>
    <w:rsid w:val="7AE87CB8"/>
    <w:rsid w:val="7AED1667"/>
    <w:rsid w:val="7BC6656D"/>
    <w:rsid w:val="7C315733"/>
    <w:rsid w:val="7CCB14AA"/>
    <w:rsid w:val="7CF923CB"/>
    <w:rsid w:val="7D4A6311"/>
    <w:rsid w:val="7D5F30DC"/>
    <w:rsid w:val="7F5E1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semiHidden/>
    <w:unhideWhenUsed/>
    <w:qFormat/>
    <w:uiPriority w:val="99"/>
    <w:pPr>
      <w:tabs>
        <w:tab w:val="center" w:pos="4153"/>
        <w:tab w:val="right" w:pos="8306"/>
      </w:tabs>
      <w:snapToGrid w:val="0"/>
      <w:jc w:val="left"/>
    </w:pPr>
    <w:rPr>
      <w:sz w:val="18"/>
      <w:szCs w:val="18"/>
    </w:rPr>
  </w:style>
  <w:style w:type="paragraph" w:styleId="3">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qFormat/>
    <w:uiPriority w:val="0"/>
    <w:rPr>
      <w:rFonts w:ascii="Verdana" w:hAnsi="Verdana"/>
      <w:b/>
      <w:bCs/>
      <w:kern w:val="0"/>
      <w:sz w:val="20"/>
      <w:szCs w:val="20"/>
      <w:lang w:eastAsia="en-US"/>
    </w:rPr>
  </w:style>
  <w:style w:type="character" w:styleId="8">
    <w:name w:val="FollowedHyperlink"/>
    <w:basedOn w:val="6"/>
    <w:semiHidden/>
    <w:unhideWhenUsed/>
    <w:qFormat/>
    <w:uiPriority w:val="99"/>
    <w:rPr>
      <w:color w:val="800080"/>
      <w:u w:val="single"/>
    </w:rPr>
  </w:style>
  <w:style w:type="character" w:styleId="9">
    <w:name w:val="Hyperlink"/>
    <w:basedOn w:val="6"/>
    <w:unhideWhenUsed/>
    <w:qFormat/>
    <w:uiPriority w:val="99"/>
    <w:rPr>
      <w:color w:val="0000FF" w:themeColor="hyperlink"/>
      <w:u w:val="single"/>
    </w:rPr>
  </w:style>
  <w:style w:type="paragraph" w:styleId="10">
    <w:name w:val="List Paragraph"/>
    <w:basedOn w:val="1"/>
    <w:qFormat/>
    <w:uiPriority w:val="34"/>
    <w:pPr>
      <w:ind w:firstLine="420" w:firstLineChars="200"/>
    </w:pPr>
    <w:rPr>
      <w:rFonts w:ascii="Calibri" w:hAnsi="Calibri"/>
      <w:szCs w:val="22"/>
    </w:rPr>
  </w:style>
  <w:style w:type="paragraph" w:customStyle="1" w:styleId="11">
    <w:name w:val="正文表格"/>
    <w:basedOn w:val="1"/>
    <w:qFormat/>
    <w:uiPriority w:val="0"/>
    <w:pPr>
      <w:spacing w:before="60" w:after="60"/>
    </w:pPr>
    <w:rPr>
      <w:sz w:val="24"/>
    </w:rPr>
  </w:style>
  <w:style w:type="character" w:customStyle="1" w:styleId="12">
    <w:name w:val="页眉 Char"/>
    <w:basedOn w:val="6"/>
    <w:link w:val="3"/>
    <w:semiHidden/>
    <w:qFormat/>
    <w:uiPriority w:val="99"/>
    <w:rPr>
      <w:rFonts w:ascii="Times New Roman" w:hAnsi="Times New Roman" w:eastAsia="宋体" w:cs="Times New Roman"/>
      <w:sz w:val="18"/>
      <w:szCs w:val="18"/>
    </w:rPr>
  </w:style>
  <w:style w:type="character" w:customStyle="1" w:styleId="13">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480</Words>
  <Characters>2737</Characters>
  <Lines>22</Lines>
  <Paragraphs>6</Paragraphs>
  <TotalTime>0</TotalTime>
  <ScaleCrop>false</ScaleCrop>
  <LinksUpToDate>false</LinksUpToDate>
  <CharactersWithSpaces>3211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2020-10-12T03:32:00Z</dcterms:created>
  <dc:creator>Administrator</dc:creator>
  <cp:lastModifiedBy>Administrator</cp:lastModifiedBy>
  <cp:lastPrinted>2020-06-11T04:29:00Z</cp:lastPrinted>
  <dcterms:modified xsi:type="dcterms:W3CDTF">2020-10-14T08:42:08Z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