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FE" w:rsidRDefault="00D950FE" w:rsidP="00D950FE"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益阳南洞庭湖自然保护区资阳区管理局</w:t>
      </w:r>
      <w:r>
        <w:rPr>
          <w:b/>
          <w:bCs/>
          <w:kern w:val="0"/>
          <w:sz w:val="36"/>
          <w:szCs w:val="36"/>
        </w:rPr>
        <w:t>20</w:t>
      </w:r>
      <w:r>
        <w:rPr>
          <w:rFonts w:hint="eastAsia"/>
          <w:b/>
          <w:bCs/>
          <w:kern w:val="0"/>
          <w:sz w:val="36"/>
          <w:szCs w:val="36"/>
        </w:rPr>
        <w:t>20</w:t>
      </w:r>
      <w:r>
        <w:rPr>
          <w:b/>
          <w:bCs/>
          <w:kern w:val="0"/>
          <w:sz w:val="36"/>
          <w:szCs w:val="36"/>
        </w:rPr>
        <w:t>年部门预算</w:t>
      </w:r>
      <w:r>
        <w:rPr>
          <w:rFonts w:hint="eastAsia"/>
          <w:b/>
          <w:bCs/>
          <w:kern w:val="0"/>
          <w:sz w:val="36"/>
          <w:szCs w:val="36"/>
        </w:rPr>
        <w:t>说明</w:t>
      </w:r>
    </w:p>
    <w:p w:rsidR="00D950FE" w:rsidRDefault="00D950FE" w:rsidP="00D950FE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</w:t>
      </w:r>
      <w:r>
        <w:rPr>
          <w:rFonts w:eastAsia="黑体" w:hint="eastAsia"/>
          <w:bCs/>
          <w:kern w:val="0"/>
          <w:sz w:val="32"/>
          <w:szCs w:val="32"/>
        </w:rPr>
        <w:t>基本情况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职能职责</w:t>
      </w:r>
    </w:p>
    <w:p w:rsidR="00D950FE" w:rsidRDefault="00D950FE" w:rsidP="00D950FE">
      <w:pPr>
        <w:spacing w:line="540" w:lineRule="exact"/>
        <w:ind w:firstLineChars="200" w:firstLine="604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pacing w:val="-9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一）负责开展自然保护区法规政策宣传教育和自然保护区资源展示，向社会公示自然保护区地理地图和界限；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（二）按照自然保护区规划明确的核心区、缓冲区、实验区，设置醒目的标志标牌和必要的防护设施；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（三）负责组织专门机构、相关职能部门和乡镇开展自然保护区的巡查保护、监督检查和行政执法工作；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（四）负责自然保护区保护修复建设项目的策划、获准后的组织实施；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（五）负责自然保护区的合理利用工作；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（六）制定和组织实施全区（不含黄家湖新区）湿地保护、湖洲林业发展规划；负责湿地保护的组织、协调和监督，湿地资源的普查、监测和保护；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（七）负责监督考核本级相关部门和乡镇政府履职情况。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机构设置</w:t>
      </w:r>
    </w:p>
    <w:p w:rsidR="00D950FE" w:rsidRDefault="00D950FE" w:rsidP="00D950FE">
      <w:pPr>
        <w:spacing w:line="540" w:lineRule="exact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根据上述职责，益阳南洞庭湖自然保护区资阳区管理局共设3个内设机构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950FE" w:rsidRDefault="00D950FE" w:rsidP="00D950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（一）办公室(加挂宣教股牌子)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协助局领导组织、协调日常工作，负责有关文件的起草、审核、印发，负责信息综合、文秘、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档案管理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机要保密</w:t>
      </w:r>
      <w:r>
        <w:rPr>
          <w:rFonts w:ascii="仿宋_GB2312" w:eastAsia="仿宋_GB2312" w:hint="eastAsia"/>
          <w:sz w:val="32"/>
          <w:szCs w:val="32"/>
        </w:rPr>
        <w:t>、政工人事、接待、后勤服务工作;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负责管理局及项目建设的财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务管理；</w:t>
      </w:r>
      <w:r>
        <w:rPr>
          <w:rFonts w:ascii="仿宋_GB2312" w:eastAsia="仿宋_GB2312" w:hint="eastAsia"/>
          <w:sz w:val="32"/>
          <w:szCs w:val="32"/>
        </w:rPr>
        <w:t>负责党务、纪检监察工作;负责组织接待和协调处理来信来访;完成领导交办的其他工作。</w:t>
      </w:r>
      <w:r>
        <w:rPr>
          <w:rFonts w:eastAsia="仿宋_GB2312" w:hint="eastAsia"/>
          <w:sz w:val="32"/>
          <w:szCs w:val="32"/>
        </w:rPr>
        <w:t>负责制定并落实保护区湿地保护宣传计划；负责年度世界湿地日、爱鸟周、野生动物保护日等重大节日的活动策划和活动开展工作；负责湿地保护和相关法制宣传工作；组织开展志愿者活动。</w:t>
      </w:r>
    </w:p>
    <w:p w:rsidR="00D950FE" w:rsidRDefault="00D950FE" w:rsidP="00D950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（二）资源保护股(加挂综合执法大队牌子)</w:t>
      </w:r>
    </w:p>
    <w:p w:rsidR="00D950FE" w:rsidRDefault="00D950FE" w:rsidP="00D950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落实上级对保护区的规划、管理及相关基础设施建设；负责保护区内修复建设项目的申报及获准后的实施；组织协调相关职能部门和乡镇开展联合行政执法和专项整治行动，对违法行为进行巡查监督和查处；贯彻执行自然保护、湿地和野生动植物保护的法律法规和政策。</w:t>
      </w:r>
    </w:p>
    <w:p w:rsidR="00D950FE" w:rsidRDefault="00D950FE" w:rsidP="00D950F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（三）巡护监测股</w:t>
      </w:r>
    </w:p>
    <w:p w:rsidR="00D950FE" w:rsidRDefault="00D950FE" w:rsidP="00D950F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保护区内的巡护工作，落实保护区相关项目建设、制定和落实科研监测计划；负责保护区内生态补偿、恢复、修复等项目的策划及获准后的实施等工作；负责组织保护区内湿地和珍稀水禽生物资源调查、技术监测、配合上级主管部门开展科学考察、课题研究，推广科研成果；负责保护区的常规监测，疫源疫病监测与上报</w:t>
      </w:r>
      <w:r>
        <w:rPr>
          <w:rFonts w:eastAsia="仿宋_GB2312" w:hint="eastAsia"/>
          <w:sz w:val="32"/>
          <w:szCs w:val="32"/>
        </w:rPr>
        <w:t>。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D950FE" w:rsidRDefault="00D950FE" w:rsidP="00D950FE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益阳南洞庭湖自然保护区资阳区管理局</w:t>
      </w:r>
      <w:r>
        <w:rPr>
          <w:rFonts w:eastAsia="仿宋_GB2312"/>
          <w:sz w:val="32"/>
          <w:szCs w:val="32"/>
        </w:rPr>
        <w:t>只有本级，没有其他二级预算单位，因此，纳入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eastAsia="仿宋_GB2312" w:hint="eastAsia"/>
          <w:sz w:val="32"/>
          <w:szCs w:val="32"/>
        </w:rPr>
        <w:t>益阳南洞庭湖自然保护区资阳区管理局</w:t>
      </w:r>
      <w:r>
        <w:rPr>
          <w:rFonts w:eastAsia="仿宋_GB2312"/>
          <w:sz w:val="32"/>
          <w:szCs w:val="32"/>
        </w:rPr>
        <w:t>本级。</w:t>
      </w:r>
    </w:p>
    <w:p w:rsidR="00D950FE" w:rsidRDefault="00D950FE" w:rsidP="00D950FE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</w:t>
      </w:r>
      <w:r>
        <w:rPr>
          <w:rFonts w:eastAsia="黑体" w:hint="eastAsia"/>
          <w:bCs/>
          <w:kern w:val="0"/>
          <w:sz w:val="32"/>
          <w:szCs w:val="32"/>
        </w:rPr>
        <w:t>预算</w:t>
      </w:r>
      <w:r>
        <w:rPr>
          <w:rFonts w:eastAsia="黑体"/>
          <w:bCs/>
          <w:kern w:val="0"/>
          <w:sz w:val="32"/>
          <w:szCs w:val="32"/>
        </w:rPr>
        <w:t>收支概况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年部门预算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包括本级预算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收入既包括一般公共预算和政府性基金收入，又包括事业单位经营服务等收入；支出既包括保障</w:t>
      </w:r>
      <w:r>
        <w:rPr>
          <w:rFonts w:eastAsia="仿宋_GB2312" w:hint="eastAsia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机关基本运行的经费，也包括</w:t>
      </w:r>
      <w:r>
        <w:rPr>
          <w:rFonts w:eastAsia="仿宋_GB2312" w:hint="eastAsia"/>
          <w:sz w:val="32"/>
          <w:szCs w:val="32"/>
        </w:rPr>
        <w:t>益阳南洞庭湖自然保护区资阳区管理局</w:t>
      </w:r>
      <w:r>
        <w:rPr>
          <w:rFonts w:eastAsia="仿宋_GB2312"/>
          <w:sz w:val="32"/>
          <w:szCs w:val="32"/>
        </w:rPr>
        <w:t>归口管理专项经费。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0" type="#_x0000_t34" style="position:absolute;left:0;text-align:left;margin-left:208.25pt;margin-top:74.75pt;width:.05pt;height:.05pt;rotation:90;flip:x;z-index:251660288" o:connectortype="elbow" o:gfxdata="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eIpRdkAAAALAQAADwAAAAAAAAABACAAAAAi&#10;AAAAZHJzL2Rvd25yZXYueG1sUEsBAhQAFAAAAAgAh07iQPCyaeUJAgAA4gMAAA4AAAAAAAAAAQAg&#10;AAAAKAEAAGRycy9lMm9Eb2MueG1sUEsFBgAAAAAGAAYAWQEAAKMFAAAAAA==&#10;" adj="0">
            <v:stroke endarrow="block"/>
          </v:shape>
        </w:pic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一）</w:t>
      </w:r>
      <w:r>
        <w:rPr>
          <w:rFonts w:eastAsia="仿宋_GB2312"/>
          <w:sz w:val="32"/>
          <w:szCs w:val="32"/>
        </w:rPr>
        <w:t>收入预算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85.99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 w:hint="eastAsia"/>
          <w:sz w:val="32"/>
          <w:szCs w:val="32"/>
        </w:rPr>
        <w:t>84.55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其他收入</w:t>
      </w:r>
      <w:r>
        <w:rPr>
          <w:rFonts w:eastAsia="仿宋_GB2312" w:hint="eastAsia"/>
          <w:sz w:val="32"/>
          <w:szCs w:val="32"/>
        </w:rPr>
        <w:t>1.44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。收入较去年增加</w:t>
      </w:r>
      <w:r>
        <w:rPr>
          <w:rFonts w:eastAsia="仿宋_GB2312" w:hint="eastAsia"/>
          <w:sz w:val="32"/>
          <w:szCs w:val="32"/>
        </w:rPr>
        <w:t xml:space="preserve">37.06 </w:t>
      </w:r>
      <w:r>
        <w:rPr>
          <w:rFonts w:eastAsia="仿宋_GB2312" w:hint="eastAsia"/>
          <w:sz w:val="32"/>
          <w:szCs w:val="32"/>
        </w:rPr>
        <w:t>万元，主要是干职工人数增加，工资福利费用相应增加；洞庭湖保护专项费用增加。</w:t>
      </w:r>
    </w:p>
    <w:p w:rsidR="00D950FE" w:rsidRDefault="00D950FE" w:rsidP="00D950FE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注：本单位没有政府性基金预算收入和国有资本经营预算收入，也就没有使用政府性基金预算和国有资本经营预算安排的支出。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 w:hint="eastAsia"/>
          <w:sz w:val="32"/>
          <w:szCs w:val="32"/>
        </w:rPr>
        <w:t>85.99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其中，社会保障和就业支出</w:t>
      </w:r>
      <w:r>
        <w:rPr>
          <w:rFonts w:eastAsia="仿宋_GB2312" w:hint="eastAsia"/>
          <w:sz w:val="32"/>
          <w:szCs w:val="32"/>
        </w:rPr>
        <w:t>6.33</w:t>
      </w:r>
      <w:r>
        <w:rPr>
          <w:rFonts w:eastAsia="仿宋_GB2312" w:hint="eastAsia"/>
          <w:sz w:val="32"/>
          <w:szCs w:val="32"/>
        </w:rPr>
        <w:t>万元，卫生健康支出</w:t>
      </w:r>
      <w:r>
        <w:rPr>
          <w:rFonts w:eastAsia="仿宋_GB2312" w:hint="eastAsia"/>
          <w:sz w:val="32"/>
          <w:szCs w:val="32"/>
        </w:rPr>
        <w:t>3.51</w:t>
      </w:r>
      <w:r>
        <w:rPr>
          <w:rFonts w:eastAsia="仿宋_GB2312" w:hint="eastAsia"/>
          <w:sz w:val="32"/>
          <w:szCs w:val="32"/>
        </w:rPr>
        <w:t>万元，住房保障支出</w:t>
      </w:r>
      <w:r>
        <w:rPr>
          <w:rFonts w:eastAsia="仿宋_GB2312" w:hint="eastAsia"/>
          <w:sz w:val="32"/>
          <w:szCs w:val="32"/>
        </w:rPr>
        <w:t>4.22</w:t>
      </w:r>
      <w:r>
        <w:rPr>
          <w:rFonts w:eastAsia="仿宋_GB2312" w:hint="eastAsia"/>
          <w:sz w:val="32"/>
          <w:szCs w:val="32"/>
        </w:rPr>
        <w:t>万元，节能环保支出</w:t>
      </w:r>
      <w:r>
        <w:rPr>
          <w:rFonts w:eastAsia="仿宋_GB2312" w:hint="eastAsia"/>
          <w:sz w:val="32"/>
          <w:szCs w:val="32"/>
        </w:rPr>
        <w:t>71.93</w:t>
      </w:r>
      <w:r>
        <w:rPr>
          <w:rFonts w:eastAsia="仿宋_GB2312" w:hint="eastAsia"/>
          <w:sz w:val="32"/>
          <w:szCs w:val="32"/>
        </w:rPr>
        <w:t>万元。支出较去年增加</w:t>
      </w:r>
      <w:r>
        <w:rPr>
          <w:rFonts w:eastAsia="仿宋_GB2312" w:hint="eastAsia"/>
          <w:sz w:val="32"/>
          <w:szCs w:val="32"/>
        </w:rPr>
        <w:t>37.06</w:t>
      </w:r>
      <w:r>
        <w:rPr>
          <w:rFonts w:eastAsia="仿宋_GB2312" w:hint="eastAsia"/>
          <w:sz w:val="32"/>
          <w:szCs w:val="32"/>
        </w:rPr>
        <w:t>万元，主要是干职工人数增加，工资福利费用相应增加；洞庭湖保护专项费用增加。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四、一般公共预算拨款支出预算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年一般公共预算拨款收入</w:t>
      </w:r>
      <w:r>
        <w:rPr>
          <w:rFonts w:eastAsia="仿宋_GB2312" w:hint="eastAsia"/>
          <w:sz w:val="32"/>
          <w:szCs w:val="32"/>
        </w:rPr>
        <w:t>85.99</w:t>
      </w:r>
      <w:r>
        <w:rPr>
          <w:rFonts w:eastAsia="仿宋_GB2312"/>
          <w:sz w:val="32"/>
          <w:szCs w:val="32"/>
        </w:rPr>
        <w:t>万元，具体安排情况如下：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56.97</w:t>
      </w:r>
      <w:r>
        <w:rPr>
          <w:rFonts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（二）项目支出：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29.02</w:t>
      </w:r>
      <w:r>
        <w:rPr>
          <w:rFonts w:eastAsia="仿宋_GB2312"/>
          <w:sz w:val="32"/>
          <w:szCs w:val="32"/>
        </w:rPr>
        <w:t>万元，是指单位为完成特定行政工作任务或事业发展目标而发生的支出，包括有关事业发展专项、专项业务费、基本建设支出等。其中：</w:t>
      </w:r>
      <w:r>
        <w:rPr>
          <w:rFonts w:eastAsia="仿宋_GB2312" w:hint="eastAsia"/>
          <w:sz w:val="32"/>
          <w:szCs w:val="32"/>
        </w:rPr>
        <w:t>按项目管理的商品和服务支出</w:t>
      </w:r>
      <w:r>
        <w:rPr>
          <w:rFonts w:eastAsia="仿宋_GB2312" w:hint="eastAsia"/>
          <w:sz w:val="32"/>
          <w:szCs w:val="32"/>
        </w:rPr>
        <w:t>29.02</w:t>
      </w:r>
      <w:r>
        <w:rPr>
          <w:rFonts w:eastAsia="仿宋_GB2312"/>
          <w:sz w:val="32"/>
          <w:szCs w:val="32"/>
        </w:rPr>
        <w:t>万元，主要用于</w:t>
      </w:r>
      <w:r>
        <w:rPr>
          <w:rFonts w:eastAsia="仿宋_GB2312" w:hint="eastAsia"/>
          <w:sz w:val="32"/>
          <w:szCs w:val="32"/>
        </w:rPr>
        <w:t>洞庭湖专项保护</w:t>
      </w:r>
      <w:r>
        <w:rPr>
          <w:rFonts w:eastAsia="仿宋_GB2312"/>
          <w:sz w:val="32"/>
          <w:szCs w:val="32"/>
        </w:rPr>
        <w:t>等方面</w:t>
      </w:r>
      <w:r>
        <w:rPr>
          <w:rFonts w:eastAsia="仿宋_GB2312" w:hint="eastAsia"/>
          <w:sz w:val="32"/>
          <w:szCs w:val="32"/>
        </w:rPr>
        <w:t>。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机关运行及三公经费</w:t>
      </w:r>
      <w:r>
        <w:rPr>
          <w:rFonts w:eastAsia="黑体"/>
          <w:sz w:val="32"/>
          <w:szCs w:val="32"/>
        </w:rPr>
        <w:t>情况说明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</w:t>
      </w:r>
      <w:r>
        <w:rPr>
          <w:rFonts w:eastAsia="仿宋_GB2312" w:hint="eastAsia"/>
          <w:sz w:val="32"/>
          <w:szCs w:val="32"/>
        </w:rPr>
        <w:t>经费情况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局</w:t>
      </w:r>
      <w:r>
        <w:rPr>
          <w:rFonts w:ascii="仿宋_GB2312" w:eastAsia="仿宋_GB2312" w:cs="仿宋_GB2312" w:hint="eastAsia"/>
          <w:sz w:val="32"/>
          <w:szCs w:val="32"/>
        </w:rPr>
        <w:t>内设股室</w:t>
      </w:r>
      <w:r>
        <w:rPr>
          <w:rFonts w:eastAsia="仿宋_GB2312"/>
          <w:sz w:val="32"/>
          <w:szCs w:val="32"/>
        </w:rPr>
        <w:t>运行经费</w:t>
      </w:r>
      <w:r>
        <w:rPr>
          <w:rFonts w:eastAsia="仿宋_GB2312" w:hint="eastAsia"/>
          <w:sz w:val="32"/>
          <w:szCs w:val="32"/>
        </w:rPr>
        <w:t>当年一般公共预算</w:t>
      </w:r>
      <w:r>
        <w:rPr>
          <w:rFonts w:eastAsia="仿宋_GB2312"/>
          <w:sz w:val="32"/>
          <w:szCs w:val="32"/>
        </w:rPr>
        <w:t>拨款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，与去年预算持平。</w:t>
      </w:r>
      <w:bookmarkStart w:id="0" w:name="_GoBack"/>
      <w:bookmarkEnd w:id="0"/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情况</w:t>
      </w:r>
    </w:p>
    <w:p w:rsidR="00D950FE" w:rsidRDefault="00D950FE" w:rsidP="00D950FE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经费预算数为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万元，公务用车购置费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万元，因公出国（境）费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年“三公”经费预算与上年持平。</w:t>
      </w:r>
    </w:p>
    <w:p w:rsidR="00D950FE" w:rsidRDefault="00D950FE" w:rsidP="00D950F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国有资产及政府采购</w:t>
      </w:r>
      <w:r>
        <w:rPr>
          <w:rFonts w:eastAsia="黑体"/>
          <w:sz w:val="32"/>
          <w:szCs w:val="32"/>
        </w:rPr>
        <w:t>情况说明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国有资产占用情况</w:t>
      </w:r>
    </w:p>
    <w:p w:rsidR="00D950FE" w:rsidRDefault="00D950FE" w:rsidP="00D950FE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截至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日，本部门共有车辆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辆，其中，领导干部用车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辆，一般公务用车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辆，一般执法执勤用车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辆，特种专业技术用车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辆，其他用车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辆。单位价值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万元以上通用设备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台，价值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万元以上专用设备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台。</w:t>
      </w:r>
    </w:p>
    <w:p w:rsidR="00D950FE" w:rsidRDefault="00D950FE" w:rsidP="00D950FE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年部门预算安排增加车辆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台，预计购置单价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万元以上大型设备价值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台。</w:t>
      </w:r>
      <w:r>
        <w:rPr>
          <w:rFonts w:eastAsia="仿宋_GB2312" w:hint="eastAsia"/>
          <w:sz w:val="32"/>
          <w:szCs w:val="32"/>
        </w:rPr>
        <w:t xml:space="preserve">  </w:t>
      </w:r>
    </w:p>
    <w:p w:rsidR="00D950FE" w:rsidRDefault="00D950FE" w:rsidP="00D950F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</w:t>
      </w:r>
      <w:r>
        <w:rPr>
          <w:rFonts w:eastAsia="仿宋_GB2312" w:hint="eastAsia"/>
          <w:sz w:val="32"/>
          <w:szCs w:val="32"/>
        </w:rPr>
        <w:t>、政府采购安排情况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益阳南洞庭湖自然保护区资阳区管理局政府采购预算总额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万元。其中：政府采购货物预算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万元、政府采购工程预算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万元、政府采购服务预算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万元。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七、预算绩效情况及其他重要事项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、重点项目预算的绩效目标等预算绩效情况说明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本单位整体支出和项目支出实行绩效目标管理，纳入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年部门整体支出绩效目标的金额为</w:t>
      </w:r>
      <w:r>
        <w:rPr>
          <w:rFonts w:eastAsia="仿宋_GB2312" w:hint="eastAsia"/>
          <w:sz w:val="32"/>
          <w:szCs w:val="32"/>
        </w:rPr>
        <w:t>85.99</w:t>
      </w:r>
      <w:r>
        <w:rPr>
          <w:rFonts w:eastAsia="仿宋_GB2312" w:hint="eastAsia"/>
          <w:sz w:val="32"/>
          <w:szCs w:val="32"/>
        </w:rPr>
        <w:t>万元，其中：基本支出</w:t>
      </w:r>
      <w:r>
        <w:rPr>
          <w:rFonts w:eastAsia="仿宋_GB2312" w:hint="eastAsia"/>
          <w:sz w:val="32"/>
          <w:szCs w:val="32"/>
        </w:rPr>
        <w:t>56.97</w:t>
      </w:r>
      <w:r>
        <w:rPr>
          <w:rFonts w:eastAsia="仿宋_GB2312" w:hint="eastAsia"/>
          <w:sz w:val="32"/>
          <w:szCs w:val="32"/>
        </w:rPr>
        <w:t>万元，项目支出</w:t>
      </w:r>
      <w:r>
        <w:rPr>
          <w:rFonts w:eastAsia="仿宋_GB2312" w:hint="eastAsia"/>
          <w:sz w:val="32"/>
          <w:szCs w:val="32"/>
        </w:rPr>
        <w:t>29.02</w:t>
      </w:r>
      <w:r>
        <w:rPr>
          <w:rFonts w:eastAsia="仿宋_GB2312" w:hint="eastAsia"/>
          <w:sz w:val="32"/>
          <w:szCs w:val="32"/>
        </w:rPr>
        <w:t>万元。主要绩效目标是：做好南洞庭湖自然保护区的管理和保护。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、其他重要事项说明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本单位无其他重要事项需要说明。</w:t>
      </w:r>
    </w:p>
    <w:p w:rsidR="00D950FE" w:rsidRDefault="00D950FE" w:rsidP="00D950FE">
      <w:pPr>
        <w:widowControl/>
        <w:spacing w:line="600" w:lineRule="exact"/>
        <w:ind w:firstLineChars="200" w:firstLine="640"/>
        <w:rPr>
          <w:rFonts w:eastAsia="黑体"/>
          <w:sz w:val="32"/>
          <w:szCs w:val="32"/>
        </w:rPr>
      </w:pPr>
    </w:p>
    <w:p w:rsidR="00D950FE" w:rsidRDefault="00D950FE" w:rsidP="00D950FE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、名词解释</w:t>
      </w:r>
    </w:p>
    <w:p w:rsidR="00D950FE" w:rsidRDefault="00D950FE" w:rsidP="00D950F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、机关运行经费：为保障行政单位（包括参照公务员法管理的事业单位）运行，用</w:t>
      </w:r>
      <w:r>
        <w:rPr>
          <w:rFonts w:eastAsia="仿宋_GB2312" w:hint="eastAsia"/>
          <w:sz w:val="32"/>
          <w:szCs w:val="32"/>
        </w:rPr>
        <w:t>一般公共预算</w:t>
      </w:r>
      <w:r>
        <w:rPr>
          <w:rFonts w:eastAsia="仿宋_GB2312"/>
          <w:sz w:val="32"/>
          <w:szCs w:val="32"/>
        </w:rPr>
        <w:t>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D950FE" w:rsidRDefault="00D950FE" w:rsidP="00D950F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</w:t>
      </w:r>
      <w:r>
        <w:rPr>
          <w:rFonts w:eastAsia="仿宋_GB2312" w:hint="eastAsia"/>
          <w:sz w:val="32"/>
          <w:szCs w:val="32"/>
        </w:rPr>
        <w:t>区级</w:t>
      </w:r>
      <w:r>
        <w:rPr>
          <w:rFonts w:eastAsia="仿宋_GB2312"/>
          <w:sz w:val="32"/>
          <w:szCs w:val="32"/>
        </w:rPr>
        <w:t>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</w:t>
      </w:r>
      <w:r>
        <w:rPr>
          <w:rFonts w:eastAsia="仿宋_GB2312" w:hint="eastAsia"/>
          <w:sz w:val="32"/>
          <w:szCs w:val="32"/>
        </w:rPr>
        <w:t>（经费拨款和纳入一般公共预算管理的非税收入拨款）</w:t>
      </w:r>
      <w:r>
        <w:rPr>
          <w:rFonts w:eastAsia="仿宋_GB2312"/>
          <w:sz w:val="32"/>
          <w:szCs w:val="32"/>
        </w:rPr>
        <w:t>安排的公务接待费、公务用车购置及运</w:t>
      </w:r>
      <w:r>
        <w:rPr>
          <w:rFonts w:eastAsia="仿宋_GB2312"/>
          <w:sz w:val="32"/>
          <w:szCs w:val="32"/>
        </w:rPr>
        <w:lastRenderedPageBreak/>
        <w:t>行维护费和因公出国（境）费。其中，公务接待费反映单位按规定开支的各类公务接待支出；公务用车购置及运行费反映单位公务用车车辆购置支出（含车辆购置税）</w:t>
      </w:r>
      <w:r>
        <w:rPr>
          <w:rFonts w:eastAsia="仿宋_GB2312" w:hint="eastAsia"/>
          <w:sz w:val="32"/>
          <w:szCs w:val="32"/>
        </w:rPr>
        <w:t>，以</w:t>
      </w:r>
      <w:r>
        <w:rPr>
          <w:rFonts w:eastAsia="仿宋_GB2312"/>
          <w:sz w:val="32"/>
          <w:szCs w:val="32"/>
        </w:rPr>
        <w:t>及燃料费、维修费、保险费等支出；因公出国（境）费反映单位公务出国（境）的国际旅费、国外城市间交通费、</w:t>
      </w:r>
      <w:r>
        <w:rPr>
          <w:rFonts w:eastAsia="仿宋_GB2312" w:hint="eastAsia"/>
          <w:sz w:val="32"/>
          <w:szCs w:val="32"/>
        </w:rPr>
        <w:t>食</w:t>
      </w:r>
      <w:r>
        <w:rPr>
          <w:rFonts w:eastAsia="仿宋_GB2312"/>
          <w:sz w:val="32"/>
          <w:szCs w:val="32"/>
        </w:rPr>
        <w:t>宿费等支出。</w:t>
      </w:r>
    </w:p>
    <w:p w:rsidR="00D950FE" w:rsidRDefault="00D950FE" w:rsidP="00D950FE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:rsidR="00D950FE" w:rsidRDefault="00D950FE" w:rsidP="00D950FE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第二部分</w:t>
      </w:r>
    </w:p>
    <w:p w:rsidR="00D950FE" w:rsidRDefault="00D950FE" w:rsidP="00D950FE">
      <w:pPr>
        <w:widowControl/>
        <w:spacing w:line="600" w:lineRule="exact"/>
        <w:ind w:firstLineChars="200" w:firstLine="723"/>
        <w:jc w:val="left"/>
        <w:rPr>
          <w:rFonts w:hint="eastAsia"/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部门预算需公开的表格情况</w:t>
      </w:r>
      <w:r>
        <w:rPr>
          <w:rFonts w:hint="eastAsia"/>
          <w:b/>
          <w:bCs/>
          <w:kern w:val="0"/>
          <w:sz w:val="36"/>
          <w:szCs w:val="36"/>
        </w:rPr>
        <w:t>（见附表）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、收支预算总表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、收入预算总表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、支出预算总表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、支出预算分类汇总表（按部门预算经济分类）</w:t>
      </w:r>
    </w:p>
    <w:p w:rsidR="00D950FE" w:rsidRDefault="00D950FE" w:rsidP="00D950FE">
      <w:pPr>
        <w:widowControl/>
        <w:numPr>
          <w:ilvl w:val="0"/>
          <w:numId w:val="2"/>
        </w:numPr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支出预算分类汇总表（按政府预算经济分类）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财政拨款收支</w:t>
      </w:r>
      <w:r>
        <w:rPr>
          <w:rFonts w:eastAsia="仿宋_GB2312" w:hint="eastAsia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11</w:t>
      </w:r>
      <w:r>
        <w:rPr>
          <w:rFonts w:eastAsia="仿宋_GB2312" w:hint="eastAsia"/>
          <w:color w:val="000000"/>
          <w:sz w:val="32"/>
          <w:szCs w:val="32"/>
        </w:rPr>
        <w:t>、一般公共预算基本支出表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14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16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18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19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:rsidR="00D950FE" w:rsidRDefault="00D950FE" w:rsidP="00D950FE">
      <w:pPr>
        <w:widowControl/>
        <w:spacing w:line="600" w:lineRule="exact"/>
        <w:jc w:val="left"/>
        <w:rPr>
          <w:rFonts w:eastAsia="仿宋_GB2312" w:hint="eastAsia"/>
          <w:color w:val="000000"/>
          <w:sz w:val="32"/>
          <w:szCs w:val="32"/>
          <w:highlight w:val="yellow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、“三公”经费情况表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一般公共预算</w:t>
      </w:r>
    </w:p>
    <w:p w:rsidR="00D950FE" w:rsidRDefault="00D950FE" w:rsidP="00D950FE">
      <w:pPr>
        <w:widowControl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</w:p>
    <w:sectPr w:rsidR="00D950FE" w:rsidSect="00035B6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20" w:rsidRDefault="004A7D20" w:rsidP="00035B62">
      <w:r>
        <w:separator/>
      </w:r>
    </w:p>
  </w:endnote>
  <w:endnote w:type="continuationSeparator" w:id="0">
    <w:p w:rsidR="004A7D20" w:rsidRDefault="004A7D20" w:rsidP="0003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62" w:rsidRDefault="00035B6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A7D20">
      <w:rPr>
        <w:rStyle w:val="a4"/>
      </w:rPr>
      <w:instrText xml:space="preserve">PAGE  </w:instrText>
    </w:r>
    <w:r>
      <w:fldChar w:fldCharType="end"/>
    </w:r>
  </w:p>
  <w:p w:rsidR="00035B62" w:rsidRDefault="00035B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62" w:rsidRDefault="00035B6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A7D20">
      <w:rPr>
        <w:rStyle w:val="a4"/>
      </w:rPr>
      <w:instrText xml:space="preserve">PAGE  </w:instrText>
    </w:r>
    <w:r>
      <w:fldChar w:fldCharType="separate"/>
    </w:r>
    <w:r w:rsidR="00D950FE">
      <w:rPr>
        <w:rStyle w:val="a4"/>
        <w:noProof/>
      </w:rPr>
      <w:t>4</w:t>
    </w:r>
    <w:r>
      <w:fldChar w:fldCharType="end"/>
    </w:r>
  </w:p>
  <w:p w:rsidR="00035B62" w:rsidRDefault="00035B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20" w:rsidRDefault="004A7D20" w:rsidP="00035B62">
      <w:r>
        <w:separator/>
      </w:r>
    </w:p>
  </w:footnote>
  <w:footnote w:type="continuationSeparator" w:id="0">
    <w:p w:rsidR="004A7D20" w:rsidRDefault="004A7D20" w:rsidP="0003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0E7811"/>
    <w:multiLevelType w:val="singleLevel"/>
    <w:tmpl w:val="8D0E7811"/>
    <w:lvl w:ilvl="0">
      <w:start w:val="5"/>
      <w:numFmt w:val="decimal"/>
      <w:suff w:val="nothing"/>
      <w:lvlText w:val="%1、"/>
      <w:lvlJc w:val="left"/>
    </w:lvl>
  </w:abstractNum>
  <w:abstractNum w:abstractNumId="1">
    <w:nsid w:val="DF07B60C"/>
    <w:multiLevelType w:val="singleLevel"/>
    <w:tmpl w:val="DF07B60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F90C4E"/>
    <w:rsid w:val="00035B62"/>
    <w:rsid w:val="004A7D20"/>
    <w:rsid w:val="00D950FE"/>
    <w:rsid w:val="17E171C0"/>
    <w:rsid w:val="64F90C4E"/>
    <w:rsid w:val="66E9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B6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5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35B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2020-05-07T01:05:00Z</dcterms:created>
  <dcterms:modified xsi:type="dcterms:W3CDTF">2020-05-07T01:05:00Z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