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益阳市资阳区档案馆2019</w:t>
      </w:r>
      <w:r>
        <w:rPr>
          <w:rFonts w:ascii="宋体" w:hAnsi="宋体"/>
          <w:b/>
          <w:bCs/>
          <w:kern w:val="0"/>
          <w:sz w:val="44"/>
          <w:szCs w:val="44"/>
        </w:rPr>
        <w:t>年部门预算</w:t>
      </w:r>
      <w:r>
        <w:rPr>
          <w:rFonts w:hint="eastAsia" w:ascii="宋体" w:hAnsi="宋体"/>
          <w:b/>
          <w:bCs/>
          <w:kern w:val="0"/>
          <w:sz w:val="44"/>
          <w:szCs w:val="44"/>
        </w:rPr>
        <w:t>公开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spacing w:line="50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部门预算说明</w:t>
      </w:r>
    </w:p>
    <w:p>
      <w:pPr>
        <w:widowControl/>
        <w:spacing w:line="500" w:lineRule="exact"/>
        <w:ind w:firstLine="548" w:firstLineChars="196"/>
        <w:jc w:val="left"/>
        <w:rPr>
          <w:rFonts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</w:rPr>
        <w:t>基本情况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职能职责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机构设置</w:t>
      </w:r>
    </w:p>
    <w:p>
      <w:pPr>
        <w:widowControl/>
        <w:spacing w:line="500" w:lineRule="exact"/>
        <w:ind w:firstLine="548" w:firstLineChars="196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spacing w:line="500" w:lineRule="exact"/>
        <w:ind w:firstLine="560" w:firstLineChars="2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</w:rPr>
        <w:t>（增减变化情况）</w:t>
      </w:r>
    </w:p>
    <w:p>
      <w:pPr>
        <w:widowControl/>
        <w:spacing w:line="500" w:lineRule="exact"/>
        <w:ind w:firstLine="840" w:firstLineChars="3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widowControl/>
        <w:spacing w:line="500" w:lineRule="exact"/>
        <w:ind w:firstLine="840" w:firstLineChars="3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spacing w:line="500" w:lineRule="exact"/>
        <w:ind w:firstLine="560" w:firstLineChars="2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经费情况</w:t>
      </w:r>
    </w:p>
    <w:p>
      <w:pPr>
        <w:widowControl/>
        <w:spacing w:line="50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国有资产占用情况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政府采购安排情况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</w:rPr>
        <w:t>预算绩效情况及其他重要事项</w:t>
      </w:r>
    </w:p>
    <w:p>
      <w:pPr>
        <w:spacing w:line="5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13、基本支出预算明细表-商品和服务支出（按部门预算经济分类）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14、基本支出预算明细表-商品和服务支出（按政府预算经济分类）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18、一般公共预算基本支出预算明细表-商品和服务支出（按政府预算经济分类）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</w:rPr>
        <w:t>19、“三公”经费情况表-一般公共预算</w:t>
      </w:r>
    </w:p>
    <w:p>
      <w:pPr>
        <w:rPr>
          <w:rFonts w:eastAsia="宋体"/>
        </w:rPr>
      </w:pPr>
    </w:p>
    <w:p>
      <w:pPr>
        <w:widowControl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益阳市资阳区档案馆2019</w:t>
      </w:r>
      <w:r>
        <w:rPr>
          <w:rFonts w:ascii="宋体" w:hAnsi="宋体"/>
          <w:b/>
          <w:bCs/>
          <w:kern w:val="0"/>
          <w:sz w:val="44"/>
          <w:szCs w:val="44"/>
        </w:rPr>
        <w:t>年部门预算</w:t>
      </w:r>
      <w:r>
        <w:rPr>
          <w:rFonts w:hint="eastAsia" w:ascii="宋体" w:hAnsi="宋体"/>
          <w:b/>
          <w:bCs/>
          <w:kern w:val="0"/>
          <w:sz w:val="44"/>
          <w:szCs w:val="44"/>
        </w:rPr>
        <w:t>公开</w:t>
      </w:r>
    </w:p>
    <w:p>
      <w:pPr>
        <w:widowControl/>
        <w:spacing w:line="60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第一部分</w:t>
      </w:r>
    </w:p>
    <w:p>
      <w:pPr>
        <w:widowControl/>
        <w:spacing w:line="60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益阳市资阳区档案馆2019</w:t>
      </w:r>
      <w:r>
        <w:rPr>
          <w:rFonts w:ascii="宋体" w:hAnsi="宋体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3"/>
        </w:numPr>
        <w:spacing w:line="600" w:lineRule="exact"/>
        <w:ind w:firstLine="551" w:firstLineChars="196"/>
        <w:jc w:val="left"/>
        <w:outlineLvl w:val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部门</w:t>
      </w:r>
      <w:r>
        <w:rPr>
          <w:rFonts w:hint="eastAsia" w:ascii="宋体" w:hAnsi="宋体"/>
          <w:b/>
          <w:bCs/>
          <w:kern w:val="0"/>
          <w:sz w:val="28"/>
          <w:szCs w:val="28"/>
        </w:rPr>
        <w:t>基本情况</w:t>
      </w:r>
    </w:p>
    <w:p>
      <w:pPr>
        <w:widowControl/>
        <w:spacing w:line="600" w:lineRule="exact"/>
        <w:jc w:val="left"/>
        <w:outlineLvl w:val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（一）职能职责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1、贯彻执行党的路线、方针、政策及档案工作的法律、法规、管理条例。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2、制定全区档案事业的发展计划和档案工作的规章制度，并组织实施。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3、对全区各类档案室及各机关、团体企事业单位和组织的档案工作进行监督和指导，组织开展档案目标管理。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4、审查全区各门类档案的分类方案、保管期限的规定，监督指导档案销毁工作。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5、组织并指导全区档案理论和科学技术研究、档案保护、档案教育、档案宣传以及档案人员的岗位培训，组织区属企事业单位参加档案专业职务的报批工作。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6、组织档案用品的供应工作，为全区档案工作的规范化、标准化提供条件。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7、完成区委、区政府交办的其他工作。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(二)、机构设置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益阳市资阳区档案馆为区委办公室所属公益一类正科级事业单位，下设办公室、接收保管股、综合利用股、信息技术股，具体如下：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(一)办公室。综合协调机关日常工作；负责文秘、信息、 档案、机要、保密、信访、接待、财务、资产管理、后勤保障等工作；负责绩效考核、机构编制、干部人事、劳动工资、老干服务工作；综合协调人大代表建议和政协委员提案办理工作。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(二)接收保管股。负责依法对馆藏档案资料进行规范化、科学化保管和统计，整理、鉴定馆藏历史档案资料，提出存毁意见并组织实施；做好档案库房的防火防盗防虫等工作，确保 档案安全；组织指导区内各类档案馆(室)的档案现代化建设和档案保护抢救工作，对重要、珍贵和利用频繁的档案资料进行缩微复制，对破损、褪变的重要珍贵档案资料进行修裱、修复；编制、汇总各种档案资料检索工具和目录；拟定档案接收工作计划、标准及办法，依法接收各部门档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(三)综合利用股。负责依法向社会公布馆藏档案史料， 提供档案资料信息和经审查可复制的资料；拟定档案文献资料征集标准及办法并组织实施；确定馆藏历史档案资料开放与控制范围，对馆藏档案进行鉴定和解密、降密；负责馆藏档案资料信息的综合开发、加工及整理；负责馆藏档案陈列展览的选题、设计、展品收集和布展；负责各级档案学会日常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(四)信息技术股。负责馆藏档案的信息化工作；负责数 字化档案馆建设的规划设计、管理和维护、提供利用等工作； 负责档案信息资源的数字化建设；负责政府信息公开的查询服务工作；负责档案信息网站的编辑与更新工作。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区档案馆全额拨款事业编制10名。设馆长1名， 副馆长2名；内设机构负责人4名。</w:t>
      </w:r>
    </w:p>
    <w:p>
      <w:pPr>
        <w:widowControl/>
        <w:spacing w:line="600" w:lineRule="exact"/>
        <w:ind w:firstLine="551" w:firstLineChars="196"/>
        <w:jc w:val="left"/>
        <w:outlineLvl w:val="0"/>
        <w:rPr>
          <w:rFonts w:ascii="宋体" w:hAnsi="宋体"/>
          <w:b/>
          <w:kern w:val="0"/>
          <w:sz w:val="28"/>
          <w:szCs w:val="28"/>
        </w:rPr>
      </w:pPr>
    </w:p>
    <w:p>
      <w:pPr>
        <w:widowControl/>
        <w:spacing w:line="600" w:lineRule="exact"/>
        <w:ind w:firstLine="551" w:firstLineChars="196"/>
        <w:jc w:val="left"/>
        <w:outlineLvl w:val="0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二、部门预算单位构成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益阳市资阳区档案馆</w:t>
      </w:r>
      <w:r>
        <w:rPr>
          <w:rFonts w:ascii="宋体" w:hAnsi="宋体"/>
          <w:sz w:val="28"/>
          <w:szCs w:val="28"/>
        </w:rPr>
        <w:t>只有本级，没有其他二级预算单位，因此，纳入</w:t>
      </w: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年部门预算编制范围的预算单位为益阳市</w:t>
      </w:r>
      <w:r>
        <w:rPr>
          <w:rFonts w:hint="eastAsia" w:ascii="宋体" w:hAnsi="宋体"/>
          <w:sz w:val="28"/>
          <w:szCs w:val="28"/>
        </w:rPr>
        <w:t>资阳区档案馆</w:t>
      </w:r>
      <w:r>
        <w:rPr>
          <w:rFonts w:ascii="宋体" w:hAnsi="宋体"/>
          <w:sz w:val="28"/>
          <w:szCs w:val="28"/>
        </w:rPr>
        <w:t>本级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widowControl/>
        <w:spacing w:line="600" w:lineRule="exact"/>
        <w:ind w:firstLine="551" w:firstLineChars="196"/>
        <w:jc w:val="left"/>
        <w:outlineLvl w:val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三、部门</w:t>
      </w:r>
      <w:r>
        <w:rPr>
          <w:rFonts w:hint="eastAsia" w:ascii="宋体" w:hAnsi="宋体"/>
          <w:b/>
          <w:bCs/>
          <w:kern w:val="0"/>
          <w:sz w:val="28"/>
          <w:szCs w:val="28"/>
        </w:rPr>
        <w:t>预算</w:t>
      </w:r>
      <w:r>
        <w:rPr>
          <w:rFonts w:ascii="宋体" w:hAnsi="宋体"/>
          <w:b/>
          <w:bCs/>
          <w:kern w:val="0"/>
          <w:sz w:val="28"/>
          <w:szCs w:val="28"/>
        </w:rPr>
        <w:t>收支概况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年部门预算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包括本级预算。收入既包括一般公共预算和政府性基金收入，又包括事业单位经营服务等收入；支出既包括保障</w:t>
      </w:r>
      <w:r>
        <w:rPr>
          <w:rFonts w:hint="eastAsia" w:ascii="宋体" w:hAnsi="宋体"/>
          <w:sz w:val="28"/>
          <w:szCs w:val="28"/>
        </w:rPr>
        <w:t>本馆</w:t>
      </w:r>
      <w:r>
        <w:rPr>
          <w:rFonts w:ascii="宋体" w:hAnsi="宋体"/>
          <w:sz w:val="28"/>
          <w:szCs w:val="28"/>
        </w:rPr>
        <w:t>基本运行的经费，也包括</w:t>
      </w:r>
      <w:r>
        <w:rPr>
          <w:rFonts w:hint="eastAsia" w:ascii="宋体" w:hAnsi="宋体"/>
          <w:sz w:val="28"/>
          <w:szCs w:val="28"/>
        </w:rPr>
        <w:t>资阳区档案馆</w:t>
      </w:r>
      <w:r>
        <w:rPr>
          <w:rFonts w:ascii="宋体" w:hAnsi="宋体"/>
          <w:sz w:val="28"/>
          <w:szCs w:val="28"/>
        </w:rPr>
        <w:t>归口管理的专项经费。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（一）收入预算</w:t>
      </w:r>
      <w:r>
        <w:rPr>
          <w:rFonts w:hint="eastAsia" w:ascii="宋体" w:hAnsi="宋体"/>
          <w:sz w:val="28"/>
          <w:szCs w:val="28"/>
        </w:rPr>
        <w:t>：2019</w:t>
      </w:r>
      <w:r>
        <w:rPr>
          <w:rFonts w:ascii="宋体" w:hAnsi="宋体"/>
          <w:sz w:val="28"/>
          <w:szCs w:val="28"/>
        </w:rPr>
        <w:t>年年初预算数</w:t>
      </w:r>
      <w:r>
        <w:rPr>
          <w:rFonts w:hint="eastAsia" w:ascii="宋体" w:hAnsi="宋体"/>
          <w:sz w:val="28"/>
          <w:szCs w:val="28"/>
        </w:rPr>
        <w:t>116.51</w:t>
      </w:r>
      <w:r>
        <w:rPr>
          <w:rFonts w:ascii="宋体" w:hAnsi="宋体"/>
          <w:sz w:val="28"/>
          <w:szCs w:val="28"/>
        </w:rPr>
        <w:t>万元，其中，一般公共预算拨款</w:t>
      </w:r>
      <w:r>
        <w:rPr>
          <w:rFonts w:hint="eastAsia" w:ascii="宋体" w:hAnsi="宋体"/>
          <w:sz w:val="28"/>
          <w:szCs w:val="28"/>
        </w:rPr>
        <w:t>112.59</w:t>
      </w:r>
      <w:r>
        <w:rPr>
          <w:rFonts w:ascii="宋体" w:hAnsi="宋体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</w:rPr>
        <w:t>，事业单位经营服务收入0万元，政府性基金拨款0万元，纳入专户管理的非税收入0万元，其他收入0万元。</w:t>
      </w:r>
      <w:r>
        <w:rPr>
          <w:rFonts w:hint="eastAsia" w:ascii="宋体" w:hAnsi="宋体"/>
          <w:sz w:val="28"/>
          <w:szCs w:val="28"/>
        </w:rPr>
        <w:t>收入较去年减少7.61万元，主要是人员异动工资变化。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本单位没有政府性基金预算收入，也就没有使用政府性基金预算安排的支出。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（二）支出预算</w:t>
      </w:r>
      <w:r>
        <w:rPr>
          <w:rFonts w:hint="eastAsia" w:ascii="宋体" w:hAnsi="宋体"/>
          <w:sz w:val="28"/>
          <w:szCs w:val="28"/>
        </w:rPr>
        <w:t>：2019</w:t>
      </w:r>
      <w:r>
        <w:rPr>
          <w:rFonts w:ascii="宋体" w:hAnsi="宋体"/>
          <w:sz w:val="28"/>
          <w:szCs w:val="28"/>
        </w:rPr>
        <w:t>年年初预算数</w:t>
      </w:r>
      <w:r>
        <w:rPr>
          <w:rFonts w:hint="eastAsia" w:ascii="宋体" w:hAnsi="宋体"/>
          <w:sz w:val="28"/>
          <w:szCs w:val="28"/>
        </w:rPr>
        <w:t>116.51</w:t>
      </w:r>
      <w:r>
        <w:rPr>
          <w:rFonts w:ascii="宋体" w:hAnsi="宋体"/>
          <w:sz w:val="28"/>
          <w:szCs w:val="28"/>
        </w:rPr>
        <w:t>万元，其中，一般公共服务</w:t>
      </w:r>
      <w:r>
        <w:rPr>
          <w:rFonts w:hint="eastAsia" w:ascii="宋体" w:hAnsi="宋体"/>
          <w:sz w:val="28"/>
          <w:szCs w:val="28"/>
        </w:rPr>
        <w:t>支出89.78</w:t>
      </w:r>
      <w:r>
        <w:rPr>
          <w:rFonts w:ascii="宋体" w:hAnsi="宋体"/>
          <w:sz w:val="28"/>
          <w:szCs w:val="28"/>
        </w:rPr>
        <w:t>万元，</w:t>
      </w:r>
      <w:r>
        <w:rPr>
          <w:rFonts w:hint="eastAsia" w:asciiTheme="minorEastAsia" w:hAnsiTheme="minorEastAsia" w:cstheme="minorEastAsia"/>
          <w:sz w:val="28"/>
          <w:szCs w:val="28"/>
        </w:rPr>
        <w:t>教育支出0万元，</w:t>
      </w:r>
      <w:r>
        <w:rPr>
          <w:rFonts w:hint="eastAsia" w:ascii="宋体" w:hAnsi="宋体"/>
          <w:sz w:val="28"/>
          <w:szCs w:val="28"/>
        </w:rPr>
        <w:t>社会保障和就业支出10.53万元，卫生健康支出9.88万元，住房保障支出6.32万元。支出较去年减少7.61万元，主要是人员异动工资变化。</w:t>
      </w:r>
    </w:p>
    <w:p>
      <w:pPr>
        <w:widowControl/>
        <w:spacing w:line="600" w:lineRule="exact"/>
        <w:ind w:firstLine="660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年一般公共预算拨款收入</w:t>
      </w:r>
      <w:r>
        <w:rPr>
          <w:rFonts w:hint="eastAsia" w:ascii="宋体" w:hAnsi="宋体"/>
          <w:sz w:val="28"/>
          <w:szCs w:val="28"/>
        </w:rPr>
        <w:t>112.59</w:t>
      </w:r>
      <w:r>
        <w:rPr>
          <w:rFonts w:ascii="宋体" w:hAnsi="宋体"/>
          <w:sz w:val="28"/>
          <w:szCs w:val="28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（一）基本支出：</w:t>
      </w: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年年初预算数为</w:t>
      </w:r>
      <w:r>
        <w:rPr>
          <w:rFonts w:hint="eastAsia" w:ascii="宋体" w:hAnsi="宋体"/>
          <w:sz w:val="28"/>
          <w:szCs w:val="28"/>
        </w:rPr>
        <w:t>93.59</w:t>
      </w:r>
      <w:r>
        <w:rPr>
          <w:rFonts w:ascii="宋体" w:hAnsi="宋体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pacing w:line="600" w:lineRule="exact"/>
        <w:ind w:firstLine="6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（二）项目支出：</w:t>
      </w: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年年初预算数为</w:t>
      </w:r>
      <w:r>
        <w:rPr>
          <w:rFonts w:hint="eastAsia" w:ascii="宋体" w:hAnsi="宋体"/>
          <w:sz w:val="28"/>
          <w:szCs w:val="28"/>
        </w:rPr>
        <w:t>19</w:t>
      </w:r>
      <w:r>
        <w:rPr>
          <w:rFonts w:ascii="宋体" w:hAnsi="宋体"/>
          <w:sz w:val="28"/>
          <w:szCs w:val="28"/>
        </w:rPr>
        <w:t>万元，是指单位为完成特定行政工作任务或事业发展目标而发生的支出，包括有关事业发展专项、专项业务费、基本建设支出等。其中：</w:t>
      </w:r>
      <w:r>
        <w:rPr>
          <w:rFonts w:hint="eastAsia" w:ascii="宋体" w:hAnsi="宋体"/>
          <w:sz w:val="28"/>
          <w:szCs w:val="28"/>
        </w:rPr>
        <w:t>专项业务费</w:t>
      </w:r>
      <w:r>
        <w:rPr>
          <w:rFonts w:ascii="宋体" w:hAnsi="宋体"/>
          <w:sz w:val="28"/>
          <w:szCs w:val="28"/>
        </w:rPr>
        <w:t>支出</w:t>
      </w:r>
      <w:r>
        <w:rPr>
          <w:rFonts w:hint="eastAsia" w:ascii="宋体" w:hAnsi="宋体"/>
          <w:sz w:val="28"/>
          <w:szCs w:val="28"/>
        </w:rPr>
        <w:t>19</w:t>
      </w:r>
      <w:r>
        <w:rPr>
          <w:rFonts w:ascii="宋体" w:hAnsi="宋体"/>
          <w:sz w:val="28"/>
          <w:szCs w:val="28"/>
        </w:rPr>
        <w:t>万元，主要用于档案保护等方面。</w:t>
      </w:r>
    </w:p>
    <w:p>
      <w:pPr>
        <w:widowControl/>
        <w:spacing w:line="600" w:lineRule="exact"/>
        <w:ind w:firstLine="660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机关运行及“三公”经费</w:t>
      </w:r>
      <w:r>
        <w:rPr>
          <w:rFonts w:ascii="宋体" w:hAnsi="宋体"/>
          <w:b/>
          <w:sz w:val="28"/>
          <w:szCs w:val="28"/>
        </w:rPr>
        <w:t>情况说明</w:t>
      </w:r>
    </w:p>
    <w:p>
      <w:pPr>
        <w:widowControl/>
        <w:spacing w:line="600" w:lineRule="exact"/>
        <w:ind w:firstLine="6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1、机关运行</w:t>
      </w:r>
      <w:r>
        <w:rPr>
          <w:rFonts w:hint="eastAsia" w:ascii="宋体" w:hAnsi="宋体"/>
          <w:sz w:val="28"/>
          <w:szCs w:val="28"/>
        </w:rPr>
        <w:t>经费情况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本馆</w:t>
      </w:r>
      <w:r>
        <w:rPr>
          <w:rFonts w:hint="eastAsia" w:ascii="宋体" w:hAnsi="宋体" w:cs="仿宋_GB2312"/>
          <w:sz w:val="28"/>
          <w:szCs w:val="28"/>
        </w:rPr>
        <w:t>设股室</w:t>
      </w:r>
      <w:r>
        <w:rPr>
          <w:rFonts w:ascii="宋体" w:hAnsi="宋体"/>
          <w:sz w:val="28"/>
          <w:szCs w:val="28"/>
        </w:rPr>
        <w:t>运行经费</w:t>
      </w:r>
      <w:r>
        <w:rPr>
          <w:rFonts w:hint="eastAsia" w:ascii="宋体" w:hAnsi="宋体"/>
          <w:sz w:val="28"/>
          <w:szCs w:val="28"/>
        </w:rPr>
        <w:t>当年一般公共预算</w:t>
      </w:r>
      <w:r>
        <w:rPr>
          <w:rFonts w:ascii="宋体" w:hAnsi="宋体"/>
          <w:sz w:val="28"/>
          <w:szCs w:val="28"/>
        </w:rPr>
        <w:t>拨款</w:t>
      </w:r>
      <w:r>
        <w:rPr>
          <w:rFonts w:hint="eastAsia" w:ascii="宋体" w:hAnsi="宋体"/>
          <w:sz w:val="28"/>
          <w:szCs w:val="28"/>
        </w:rPr>
        <w:t>12.88</w:t>
      </w:r>
      <w:r>
        <w:rPr>
          <w:rFonts w:ascii="宋体" w:hAnsi="宋体"/>
          <w:sz w:val="28"/>
          <w:szCs w:val="28"/>
        </w:rPr>
        <w:t>万元，比</w:t>
      </w:r>
      <w:r>
        <w:rPr>
          <w:rFonts w:hint="eastAsia" w:ascii="宋体" w:hAnsi="宋体"/>
          <w:sz w:val="28"/>
          <w:szCs w:val="28"/>
        </w:rPr>
        <w:t>上</w:t>
      </w:r>
      <w:r>
        <w:rPr>
          <w:rFonts w:ascii="宋体" w:hAnsi="宋体"/>
          <w:sz w:val="28"/>
          <w:szCs w:val="28"/>
        </w:rPr>
        <w:t>年预算增加</w:t>
      </w:r>
      <w:r>
        <w:rPr>
          <w:rFonts w:hint="eastAsia" w:ascii="宋体" w:hAnsi="宋体"/>
          <w:sz w:val="28"/>
          <w:szCs w:val="28"/>
        </w:rPr>
        <w:t>1.14</w:t>
      </w:r>
      <w:r>
        <w:rPr>
          <w:rFonts w:ascii="宋体" w:hAnsi="宋体"/>
          <w:sz w:val="28"/>
          <w:szCs w:val="28"/>
        </w:rPr>
        <w:t>万元，上升</w:t>
      </w:r>
      <w:r>
        <w:rPr>
          <w:rFonts w:hint="eastAsia" w:ascii="宋体" w:hAnsi="宋体"/>
          <w:sz w:val="28"/>
          <w:szCs w:val="28"/>
        </w:rPr>
        <w:t>9.7</w:t>
      </w:r>
      <w:r>
        <w:rPr>
          <w:rFonts w:ascii="宋体" w:hAnsi="宋体"/>
          <w:sz w:val="28"/>
          <w:szCs w:val="28"/>
        </w:rPr>
        <w:t>%。</w:t>
      </w:r>
    </w:p>
    <w:p>
      <w:pPr>
        <w:widowControl/>
        <w:numPr>
          <w:ilvl w:val="0"/>
          <w:numId w:val="4"/>
        </w:numPr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“三公”经费</w:t>
      </w:r>
      <w:r>
        <w:rPr>
          <w:rFonts w:hint="eastAsia" w:ascii="宋体" w:hAnsi="宋体"/>
          <w:sz w:val="28"/>
          <w:szCs w:val="28"/>
        </w:rPr>
        <w:t>情况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年“三公”经费预算数为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其中，公务接待费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万元，公务用车购置费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万元，公务用车运行费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万元，因公出国（境）费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万元。</w:t>
      </w: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年“三公”经费预算较</w:t>
      </w:r>
      <w:r>
        <w:rPr>
          <w:rFonts w:hint="eastAsia" w:ascii="宋体" w:hAnsi="宋体"/>
          <w:sz w:val="28"/>
          <w:szCs w:val="28"/>
        </w:rPr>
        <w:t>上</w:t>
      </w:r>
      <w:r>
        <w:rPr>
          <w:rFonts w:ascii="宋体" w:hAnsi="宋体"/>
          <w:sz w:val="28"/>
          <w:szCs w:val="28"/>
        </w:rPr>
        <w:t>年减少（增加）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万元，</w:t>
      </w:r>
      <w:r>
        <w:rPr>
          <w:rFonts w:hint="eastAsia" w:ascii="宋体" w:hAnsi="宋体"/>
          <w:sz w:val="28"/>
          <w:szCs w:val="28"/>
        </w:rPr>
        <w:t>2019年</w:t>
      </w:r>
      <w:r>
        <w:rPr>
          <w:rFonts w:ascii="宋体" w:hAnsi="宋体"/>
          <w:sz w:val="28"/>
          <w:szCs w:val="28"/>
        </w:rPr>
        <w:t>“三公”经费预算与</w:t>
      </w:r>
      <w:r>
        <w:rPr>
          <w:rFonts w:hint="eastAsia" w:ascii="宋体" w:hAnsi="宋体"/>
          <w:sz w:val="28"/>
          <w:szCs w:val="28"/>
        </w:rPr>
        <w:t>上</w:t>
      </w:r>
      <w:r>
        <w:rPr>
          <w:rFonts w:ascii="宋体" w:hAnsi="宋体"/>
          <w:sz w:val="28"/>
          <w:szCs w:val="28"/>
        </w:rPr>
        <w:t>年持平。</w:t>
      </w:r>
    </w:p>
    <w:p>
      <w:pPr>
        <w:widowControl/>
        <w:spacing w:line="600" w:lineRule="exact"/>
        <w:ind w:firstLine="660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国有资产及政府采购</w:t>
      </w:r>
      <w:r>
        <w:rPr>
          <w:rFonts w:ascii="宋体" w:hAnsi="宋体"/>
          <w:b/>
          <w:sz w:val="28"/>
          <w:szCs w:val="28"/>
        </w:rPr>
        <w:t>情况说明</w:t>
      </w:r>
    </w:p>
    <w:p>
      <w:pPr>
        <w:widowControl/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</w:rPr>
        <w:t>国有资产占用情况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截至201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0月</w:t>
      </w:r>
      <w:r>
        <w:rPr>
          <w:rFonts w:ascii="宋体" w:hAnsi="宋体"/>
          <w:sz w:val="28"/>
          <w:szCs w:val="28"/>
        </w:rPr>
        <w:t>31</w:t>
      </w:r>
      <w:r>
        <w:rPr>
          <w:rFonts w:hint="eastAsia" w:ascii="宋体" w:hAnsi="宋体"/>
          <w:sz w:val="28"/>
          <w:szCs w:val="28"/>
        </w:rPr>
        <w:t>日，本部门共有车辆0辆。2019年部门预算安排增加车辆0台。截至2019年10月31日，本部门共有车辆0辆，其中，领导干部用车0辆，一般公务用车0辆，一般执法执勤用车0辆，特种专业技术用车0辆，其他用车0辆。单位价值50万元以上通用设备0台，价值100万元以上专用设备0台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2019年部门预算安排增加车辆0台，预计购置单价200万元以上大型设备价值0台。  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2、政府采购安排情况</w:t>
      </w:r>
    </w:p>
    <w:p>
      <w:pPr>
        <w:widowControl/>
        <w:spacing w:line="60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本单位政府采购预算数额0万元，其中：政府采购货物预算0万元、政府采购工程预算0万元、政府采购服务预算0万元。</w:t>
      </w:r>
    </w:p>
    <w:p>
      <w:pPr>
        <w:widowControl/>
        <w:numPr>
          <w:ilvl w:val="0"/>
          <w:numId w:val="1"/>
        </w:num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预算绩效情况及其他重要事项</w:t>
      </w:r>
    </w:p>
    <w:p>
      <w:pPr>
        <w:widowControl/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1、重点项目预算的绩效目标等预算绩效情况说明</w:t>
      </w:r>
    </w:p>
    <w:p>
      <w:pPr>
        <w:widowControl/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本单位整体支出和项目支出实行绩效目标管理，纳入2019年部门整体支出绩效目标的金额为0万元。</w:t>
      </w:r>
      <w:r>
        <w:rPr>
          <w:rFonts w:hint="eastAsia" w:asciiTheme="minorEastAsia" w:hAnsiTheme="minorEastAsia" w:cstheme="minorEastAsia"/>
          <w:sz w:val="28"/>
          <w:szCs w:val="28"/>
        </w:rPr>
        <w:t>其中：基本支出0万元，项目支出0万元。本单位实行部门预算绩效目标管理的项目共0个，涉及一般公共预算拨款0万元。</w:t>
      </w:r>
    </w:p>
    <w:p>
      <w:pPr>
        <w:widowControl/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2、其他重要事项说明</w:t>
      </w:r>
    </w:p>
    <w:p>
      <w:pPr>
        <w:widowControl/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本单位无其他重要事项。</w:t>
      </w:r>
    </w:p>
    <w:p>
      <w:pPr>
        <w:widowControl/>
        <w:spacing w:line="600" w:lineRule="exact"/>
        <w:ind w:firstLine="66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</w:t>
      </w:r>
      <w:r>
        <w:rPr>
          <w:rFonts w:ascii="宋体" w:hAnsi="宋体"/>
          <w:b/>
          <w:sz w:val="28"/>
          <w:szCs w:val="28"/>
        </w:rPr>
        <w:t>、名词解释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1、机关运行经费：为保障行政单位（包括参照公务员法管理的事业单位）运行，用</w:t>
      </w:r>
      <w:r>
        <w:rPr>
          <w:rFonts w:hint="eastAsia" w:ascii="宋体" w:hAnsi="宋体"/>
          <w:sz w:val="28"/>
          <w:szCs w:val="28"/>
        </w:rPr>
        <w:t>一般公共预算</w:t>
      </w:r>
      <w:r>
        <w:rPr>
          <w:rFonts w:ascii="宋体" w:hAnsi="宋体"/>
          <w:sz w:val="28"/>
          <w:szCs w:val="28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2、“三公”经费：纳入</w:t>
      </w:r>
      <w:r>
        <w:rPr>
          <w:rFonts w:hint="eastAsia" w:ascii="宋体" w:hAnsi="宋体"/>
          <w:sz w:val="28"/>
          <w:szCs w:val="28"/>
        </w:rPr>
        <w:t>区级</w:t>
      </w:r>
      <w:r>
        <w:rPr>
          <w:rFonts w:ascii="宋体" w:hAnsi="宋体"/>
          <w:sz w:val="28"/>
          <w:szCs w:val="28"/>
        </w:rPr>
        <w:t>财政预算管理的“三公“经费，是指用一般公共预算拨款</w:t>
      </w:r>
      <w:r>
        <w:rPr>
          <w:rFonts w:hint="eastAsia" w:ascii="宋体" w:hAnsi="宋体"/>
          <w:sz w:val="28"/>
          <w:szCs w:val="28"/>
        </w:rPr>
        <w:t>（经费拨款和纳入一般公共预算管理的非税收入拨款）</w:t>
      </w:r>
      <w:r>
        <w:rPr>
          <w:rFonts w:ascii="宋体" w:hAnsi="宋体"/>
          <w:sz w:val="28"/>
          <w:szCs w:val="28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hint="eastAsia" w:ascii="宋体" w:hAnsi="宋体"/>
          <w:sz w:val="28"/>
          <w:szCs w:val="28"/>
        </w:rPr>
        <w:t>，以</w:t>
      </w:r>
      <w:r>
        <w:rPr>
          <w:rFonts w:ascii="宋体" w:hAnsi="宋体"/>
          <w:sz w:val="28"/>
          <w:szCs w:val="28"/>
        </w:rPr>
        <w:t>及燃料费、维修费、保险费等支出；因公出国（境）费反映单位公务出国（境）的国际旅费、国外城市间交通费、</w:t>
      </w:r>
      <w:r>
        <w:rPr>
          <w:rFonts w:hint="eastAsia" w:ascii="宋体" w:hAnsi="宋体"/>
          <w:sz w:val="28"/>
          <w:szCs w:val="28"/>
        </w:rPr>
        <w:t>食</w:t>
      </w:r>
      <w:r>
        <w:rPr>
          <w:rFonts w:ascii="宋体" w:hAnsi="宋体"/>
          <w:sz w:val="28"/>
          <w:szCs w:val="28"/>
        </w:rPr>
        <w:t>宿费等支出。</w:t>
      </w:r>
    </w:p>
    <w:p>
      <w:pPr>
        <w:widowControl/>
        <w:spacing w:line="600" w:lineRule="exact"/>
        <w:jc w:val="left"/>
        <w:rPr>
          <w:rFonts w:ascii="宋体" w:hAnsi="宋体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第二部分</w:t>
      </w:r>
    </w:p>
    <w:p>
      <w:pPr>
        <w:widowControl/>
        <w:spacing w:line="600" w:lineRule="exact"/>
        <w:ind w:firstLine="643" w:firstLineChars="200"/>
        <w:jc w:val="center"/>
        <w:rPr>
          <w:rFonts w:ascii="宋体" w:hAnsi="宋体"/>
          <w:b/>
          <w:sz w:val="40"/>
          <w:szCs w:val="28"/>
        </w:rPr>
      </w:pPr>
      <w:r>
        <w:rPr>
          <w:rFonts w:ascii="宋体" w:hAnsi="宋体"/>
          <w:b/>
          <w:bCs/>
          <w:kern w:val="0"/>
          <w:sz w:val="32"/>
          <w:szCs w:val="32"/>
        </w:rPr>
        <w:t>部门预算需公开的表格情况</w:t>
      </w:r>
      <w:r>
        <w:rPr>
          <w:rFonts w:hint="eastAsia" w:ascii="宋体" w:hAnsi="宋体"/>
          <w:b/>
          <w:bCs/>
          <w:kern w:val="0"/>
          <w:sz w:val="32"/>
          <w:szCs w:val="32"/>
        </w:rPr>
        <w:t>（见附表）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1、收支预算总表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2、收入预算总表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3、支出预算总表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4、支出预算分类汇总表（按部门预算经济分类）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5、支出预算分类汇总表（按政府预算经济分类）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6、财政拨款收支预算表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7、一般公共预算支出预算分类汇总表（按部门预算经济分类）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8、一般公共预算支出预算分类汇总表（按政府预算经济分类）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9、政府性基金拨款支出预算分类汇总表（按部门预算经济分类）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10、政府性基金拨款支出预算分类汇总表（按政府预算经济分类）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13、基本支出预算明细表-商品和服务支出（按部门预算经济分类）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14、基本支出预算明细表-商品和服务支出（按政府预算经济分类）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firstLine="6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18、一般公共预算基本支出预算明细表-商品和服务支出（按政府预算经济分类）</w:t>
      </w:r>
    </w:p>
    <w:p>
      <w:r>
        <w:rPr>
          <w:rFonts w:hint="eastAsia" w:ascii="宋体" w:hAnsi="宋体"/>
          <w:sz w:val="28"/>
          <w:szCs w:val="28"/>
        </w:rPr>
        <w:t xml:space="preserve">     19、“三公”经费情况表-一般公共预算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675F77F"/>
    <w:multiLevelType w:val="singleLevel"/>
    <w:tmpl w:val="4675F77F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DD241BD"/>
    <w:multiLevelType w:val="singleLevel"/>
    <w:tmpl w:val="5DD241B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DF33BA"/>
    <w:rsid w:val="00162C65"/>
    <w:rsid w:val="001F5AA0"/>
    <w:rsid w:val="00BB1222"/>
    <w:rsid w:val="00C25C44"/>
    <w:rsid w:val="04DF33BA"/>
    <w:rsid w:val="06006F81"/>
    <w:rsid w:val="1CA3687D"/>
    <w:rsid w:val="28AB24D7"/>
    <w:rsid w:val="2C662D1B"/>
    <w:rsid w:val="2F571BFA"/>
    <w:rsid w:val="3C286EB3"/>
    <w:rsid w:val="3FA3297A"/>
    <w:rsid w:val="4C72324B"/>
    <w:rsid w:val="4D063ECA"/>
    <w:rsid w:val="57563D94"/>
    <w:rsid w:val="5AF81041"/>
    <w:rsid w:val="5C7E6300"/>
    <w:rsid w:val="6F9F7DF8"/>
    <w:rsid w:val="77F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611</Words>
  <Characters>3488</Characters>
  <Lines>29</Lines>
  <Paragraphs>8</Paragraphs>
  <TotalTime>1</TotalTime>
  <ScaleCrop>false</ScaleCrop>
  <LinksUpToDate>false</LinksUpToDate>
  <CharactersWithSpaces>4091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2019-11-04T08:49:00Z</dcterms:created>
  <dc:creator>Administrator</dc:creator>
  <cp:lastModifiedBy>He's a pirat</cp:lastModifiedBy>
  <cp:lastPrinted>2019-11-20T01:58:00Z</cp:lastPrinted>
  <dcterms:modified xsi:type="dcterms:W3CDTF">2020-01-22T03:11:47Z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