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资阳区大码头街道办事处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2019年部门预算公开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Times New Roman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第一部分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部门预算说明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jc w:val="left"/>
        <w:textAlignment w:val="auto"/>
        <w:rPr>
          <w:rFonts w:hint="eastAsia" w:eastAsia="仿宋_GB2312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一、部门</w:t>
      </w:r>
      <w:r>
        <w:rPr>
          <w:rFonts w:hint="eastAsia" w:eastAsia="黑体"/>
          <w:bCs/>
          <w:kern w:val="0"/>
          <w:sz w:val="28"/>
          <w:szCs w:val="28"/>
          <w:lang w:eastAsia="zh-CN"/>
        </w:rPr>
        <w:t>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  <w:lang w:eastAsia="zh-CN"/>
        </w:rPr>
        <w:t>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</w:rPr>
        <w:t>2、</w:t>
      </w:r>
      <w:r>
        <w:rPr>
          <w:rFonts w:hint="eastAsia" w:eastAsia="仿宋_GB2312"/>
          <w:sz w:val="28"/>
          <w:szCs w:val="28"/>
          <w:lang w:eastAsia="zh-CN"/>
        </w:rPr>
        <w:t>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jc w:val="left"/>
        <w:textAlignment w:val="auto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二、部门预算单位构成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1、部门本级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eastAsia="黑体"/>
          <w:bCs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eastAsia="黑体"/>
          <w:bCs/>
          <w:kern w:val="0"/>
          <w:sz w:val="28"/>
          <w:szCs w:val="28"/>
        </w:rPr>
        <w:t>三、部门</w:t>
      </w:r>
      <w:r>
        <w:rPr>
          <w:rFonts w:hint="eastAsia" w:eastAsia="黑体"/>
          <w:bCs/>
          <w:kern w:val="0"/>
          <w:sz w:val="28"/>
          <w:szCs w:val="28"/>
        </w:rPr>
        <w:t>预算</w:t>
      </w:r>
      <w:r>
        <w:rPr>
          <w:rFonts w:eastAsia="黑体"/>
          <w:bCs/>
          <w:kern w:val="0"/>
          <w:sz w:val="28"/>
          <w:szCs w:val="28"/>
        </w:rPr>
        <w:t>收支概况</w:t>
      </w:r>
      <w:r>
        <w:rPr>
          <w:rFonts w:hint="eastAsia" w:eastAsia="黑体"/>
          <w:bCs/>
          <w:kern w:val="0"/>
          <w:sz w:val="28"/>
          <w:szCs w:val="28"/>
          <w:lang w:eastAsia="zh-CN"/>
        </w:rPr>
        <w:t>（增减变化情况）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eastAsia="黑体"/>
          <w:kern w:val="0"/>
          <w:sz w:val="28"/>
          <w:szCs w:val="28"/>
        </w:rPr>
      </w:pPr>
      <w:r>
        <w:rPr>
          <w:rFonts w:eastAsia="黑体"/>
          <w:sz w:val="28"/>
          <w:szCs w:val="28"/>
        </w:rPr>
        <w:t>四</w:t>
      </w:r>
      <w:r>
        <w:rPr>
          <w:rFonts w:eastAsia="黑体"/>
          <w:kern w:val="0"/>
          <w:sz w:val="28"/>
          <w:szCs w:val="28"/>
        </w:rPr>
        <w:t>、</w:t>
      </w:r>
      <w:r>
        <w:rPr>
          <w:rFonts w:eastAsia="黑体"/>
          <w:sz w:val="28"/>
          <w:szCs w:val="28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1、基本支出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default" w:eastAsia="黑体"/>
          <w:bCs/>
          <w:kern w:val="0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t>2、项目支出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五、</w:t>
      </w:r>
      <w:r>
        <w:rPr>
          <w:rFonts w:hint="eastAsia" w:eastAsia="黑体"/>
          <w:bCs/>
          <w:kern w:val="0"/>
          <w:sz w:val="28"/>
          <w:szCs w:val="28"/>
        </w:rPr>
        <w:t>机关运行及三公经费</w:t>
      </w:r>
      <w:r>
        <w:rPr>
          <w:rFonts w:eastAsia="黑体"/>
          <w:bCs/>
          <w:kern w:val="0"/>
          <w:sz w:val="28"/>
          <w:szCs w:val="28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、机关运行</w:t>
      </w:r>
      <w:r>
        <w:rPr>
          <w:rFonts w:hint="eastAsia" w:eastAsia="仿宋_GB2312"/>
          <w:sz w:val="28"/>
          <w:szCs w:val="28"/>
        </w:rPr>
        <w:t>经费</w:t>
      </w:r>
      <w:r>
        <w:rPr>
          <w:rFonts w:hint="eastAsia" w:eastAsia="仿宋_GB2312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2、“三公”经费</w:t>
      </w:r>
      <w:r>
        <w:rPr>
          <w:rFonts w:hint="eastAsia" w:eastAsia="仿宋_GB2312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eastAsia="黑体"/>
          <w:kern w:val="0"/>
          <w:sz w:val="28"/>
          <w:szCs w:val="28"/>
        </w:rPr>
      </w:pPr>
      <w:r>
        <w:rPr>
          <w:rFonts w:hint="eastAsia" w:eastAsia="黑体"/>
          <w:sz w:val="28"/>
          <w:szCs w:val="28"/>
        </w:rPr>
        <w:t>六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</w:rPr>
        <w:t>国有资产及政府采购</w:t>
      </w:r>
      <w:r>
        <w:rPr>
          <w:rFonts w:eastAsia="黑体"/>
          <w:sz w:val="28"/>
          <w:szCs w:val="28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</w:t>
      </w:r>
      <w:r>
        <w:rPr>
          <w:rFonts w:hint="eastAsia" w:eastAsia="仿宋_GB2312"/>
          <w:sz w:val="28"/>
          <w:szCs w:val="28"/>
        </w:rPr>
        <w:t>国有资产占</w:t>
      </w:r>
      <w:r>
        <w:rPr>
          <w:rFonts w:hint="eastAsia" w:eastAsia="仿宋_GB2312"/>
          <w:sz w:val="28"/>
          <w:szCs w:val="28"/>
          <w:lang w:eastAsia="zh-CN"/>
        </w:rPr>
        <w:t>用</w:t>
      </w:r>
      <w:r>
        <w:rPr>
          <w:rFonts w:hint="eastAsia" w:eastAsia="仿宋_GB2312"/>
          <w:sz w:val="28"/>
          <w:szCs w:val="28"/>
        </w:rPr>
        <w:t>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default" w:eastAsia="黑体"/>
          <w:bCs/>
          <w:kern w:val="0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t>2、</w:t>
      </w:r>
      <w:r>
        <w:rPr>
          <w:rFonts w:hint="eastAsia" w:eastAsia="仿宋_GB2312"/>
          <w:sz w:val="28"/>
          <w:szCs w:val="28"/>
        </w:rPr>
        <w:t>政府采购</w:t>
      </w:r>
      <w:r>
        <w:rPr>
          <w:rFonts w:hint="eastAsia" w:eastAsia="仿宋_GB2312"/>
          <w:sz w:val="28"/>
          <w:szCs w:val="28"/>
          <w:lang w:eastAsia="zh-CN"/>
        </w:rPr>
        <w:t>安排</w:t>
      </w:r>
      <w:r>
        <w:rPr>
          <w:rFonts w:hint="eastAsia" w:eastAsia="仿宋_GB2312"/>
          <w:sz w:val="28"/>
          <w:szCs w:val="28"/>
        </w:rPr>
        <w:t>情况</w:t>
      </w:r>
    </w:p>
    <w:p>
      <w:pPr>
        <w:widowControl/>
        <w:numPr>
          <w:ilvl w:val="0"/>
          <w:numId w:val="1"/>
        </w:numPr>
        <w:spacing w:line="600" w:lineRule="exact"/>
        <w:ind w:firstLine="56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eastAsia="黑体"/>
          <w:sz w:val="28"/>
          <w:szCs w:val="28"/>
          <w:lang w:eastAsia="zh-CN"/>
        </w:rPr>
        <w:t>预算</w:t>
      </w:r>
      <w:r>
        <w:rPr>
          <w:rFonts w:hint="eastAsia" w:eastAsia="黑体"/>
          <w:sz w:val="28"/>
          <w:szCs w:val="28"/>
        </w:rPr>
        <w:t>绩效</w:t>
      </w:r>
      <w:r>
        <w:rPr>
          <w:rFonts w:hint="eastAsia" w:eastAsia="黑体"/>
          <w:sz w:val="28"/>
          <w:szCs w:val="28"/>
          <w:lang w:eastAsia="zh-CN"/>
        </w:rPr>
        <w:t>情况</w:t>
      </w:r>
      <w:r>
        <w:rPr>
          <w:rFonts w:hint="eastAsia" w:eastAsia="黑体"/>
          <w:sz w:val="28"/>
          <w:szCs w:val="28"/>
        </w:rPr>
        <w:t>及其他重要事项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八、名词解释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Times New Roman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第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二</w:t>
      </w:r>
      <w:r>
        <w:rPr>
          <w:rFonts w:hint="eastAsia" w:ascii="黑体" w:hAnsi="黑体" w:eastAsia="黑体" w:cs="黑体"/>
          <w:sz w:val="30"/>
          <w:szCs w:val="30"/>
        </w:rPr>
        <w:t>部分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部门预算公开表格</w:t>
      </w:r>
    </w:p>
    <w:p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eastAsia="仿宋_GB2312"/>
          <w:color w:val="000000"/>
          <w:sz w:val="32"/>
          <w:szCs w:val="32"/>
        </w:rPr>
        <w:t>1、收支预算总表</w:t>
      </w:r>
    </w:p>
    <w:p>
      <w:pPr>
        <w:widowControl/>
        <w:spacing w:line="600" w:lineRule="exact"/>
        <w:ind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2、收入预算总表</w:t>
      </w:r>
    </w:p>
    <w:p>
      <w:pPr>
        <w:widowControl/>
        <w:spacing w:line="600" w:lineRule="exact"/>
        <w:ind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3、支出预算总表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hint="eastAsia" w:eastAsia="仿宋_GB2312"/>
          <w:color w:val="000000"/>
          <w:sz w:val="32"/>
          <w:szCs w:val="32"/>
        </w:rPr>
        <w:t>、支出预算分类汇总表（按部门预算经济分类）</w:t>
      </w:r>
    </w:p>
    <w:p>
      <w:pPr>
        <w:widowControl/>
        <w:numPr>
          <w:ilvl w:val="0"/>
          <w:numId w:val="2"/>
        </w:numPr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支出预算分类汇总表（按政府预算经济分类）</w:t>
      </w:r>
    </w:p>
    <w:p>
      <w:pPr>
        <w:widowControl/>
        <w:spacing w:line="600" w:lineRule="exact"/>
        <w:ind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6、</w:t>
      </w:r>
      <w:r>
        <w:rPr>
          <w:rFonts w:eastAsia="仿宋_GB2312"/>
          <w:color w:val="000000"/>
          <w:sz w:val="32"/>
          <w:szCs w:val="32"/>
        </w:rPr>
        <w:t>财政拨款收支</w:t>
      </w:r>
      <w:r>
        <w:rPr>
          <w:rFonts w:hint="eastAsia" w:eastAsia="仿宋_GB2312"/>
          <w:color w:val="000000"/>
          <w:sz w:val="32"/>
          <w:szCs w:val="32"/>
        </w:rPr>
        <w:t>预算</w:t>
      </w:r>
      <w:r>
        <w:rPr>
          <w:rFonts w:eastAsia="仿宋_GB2312"/>
          <w:color w:val="000000"/>
          <w:sz w:val="32"/>
          <w:szCs w:val="32"/>
        </w:rPr>
        <w:t>表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7、一般公共预算支出预算分类汇总表（按部门预算经济分类）</w:t>
      </w:r>
    </w:p>
    <w:p>
      <w:pPr>
        <w:widowControl/>
        <w:spacing w:line="600" w:lineRule="exact"/>
        <w:ind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8、一般公共预算支出预算分类汇总表（按政府预算经济分类）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9、政府性基金拨款支出预算分类汇总表（按部门预算经济分类）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10、政府性基金拨款支出预算分类汇总表（按政府预算经济分类）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11、基本支出预算明细表-工资福利与对个人和家庭的补助（按部门预算经济分类）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12、基本支出预算明细表-工资福利与对个人和家庭的补助（按政府预算经济分类）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13、基本支出预算明细表-商品和服务支出（按部门预算经济分类）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14、基本支出预算明细表-商品和服务支出（按政府预算经济分类）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15、一般公共预算基本支出预算明细表-工资福利与对个人和家庭的补助（按部门预算经济分类）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16、一般公共预算基本支出预算明细表-工资福利与对个人和家庭的补助（按政府预算经济分类）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17、一般公共预算基本支出预算明细表-商品和服务支出（按部门预算经济分类）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18、一般公共预算基本支出预算明细表-商品和服务支出（按政府预算经济分类）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yellow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19、“三公”经费情况表-一般公共预算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一、部门基本情况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1、职能职责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指导、帮助社区居民委员会开展工作； 发展街道经济，开展社区服务，兴办社会福利事业做好社会保障、社会救助、防火救灾工作；维护老年人、末成年人、妇女、残疾人和归侨、侨眷少数民族的合法权益；加强计划生育、人口、教育、文化、卫生、科普、体育等基础管理工作；组织实施社会治安综合治理规划，开展治安、保卫、人民调解和拥军优属工作，做好国防动员和兵役工作；参与检查、督促辖区内新建改建住宅和公共建筑市政设施配套项目的落实、验收工作，协助有关部门对公共建筑、市政配套设施的使用进行管理监督；向区人民政府反映居民的意见和要求，办理群众来访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做好区人民政府交办的其他工作。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2、机构设置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资阳区大码头街道设8个职能科室和</w:t>
      </w:r>
      <w:r>
        <w:rPr>
          <w:rFonts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个站所，分别为：党政综合办公室、党建工作站、政工人事办公室、经济发展办公室、卫生和计生办公室、社会治安综合治理办公室、城市建设工作办公室、民政与劳动保障办公室、安全生产监督管理办公室、司法所、财政所。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二、部门预算单位构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资阳区大码头街道办事处只有本级，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-4"/>
          <w:kern w:val="0"/>
          <w:sz w:val="27"/>
          <w:szCs w:val="27"/>
          <w:shd w:val="clear" w:fill="FFFFFF"/>
          <w:lang w:val="en-US" w:eastAsia="zh-CN" w:bidi="ar"/>
        </w:rPr>
        <w:t>没有其他二级预算单位，因此，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纳入2019年部门预算编制范围的只有资阳区大码头街道办事处部门本级。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三、部门预算收支概况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2019年部门预算仅包括本级预算。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（一）收入预算：2019年年初预算数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880.21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万元。其中：一般公共预算经费拨款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673.72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万元，其他收入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206.49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万元。本单位没有政府性基金预算收入，也就没有使用政府性基金预算安排的支出。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年年初预算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861.78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万元，本年收入较去年增加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18.43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万元。主要原因是本年度在职干职工工资津补贴标准提高；住房公积金与医疗保险配套部分增加。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（二）支出预算： 2019年年初预算数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880.21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万元。其中：一般公共服务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440.84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万元；文化教育与传媒支出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万元；社会保障和就业支出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183.12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万元；卫生与健康支出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111.74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万元；城乡社区支出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81.00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万元；农林水支出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36.26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万元；住房保障支出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26.25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万元。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年年初预算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861.78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万元，本年支出较去年增加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18.43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万元。主要原因是本年度在职干职工工资津补贴标准提高；住房公积金与医疗保险配套部分增加。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四、一般公共预算拨款支出预算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2019年一般公共预算拨款收入万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673.72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万元，具体安排情况如下：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（一）基本支出：2019年年初预算数为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371.55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（二）项目支出：2019年年初预算数为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302.17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万元，是指单位为完成特定行政工作任务或事业发展目标而发生的支出，包括有关事业发展专项、专项业务费、基本建设支出等。其中：其他人大事务支出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万元，其他政协事务支出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1.2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万元，一般行政管理事务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49.5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万元，其他群众团体事务支出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万元，群众文化支出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万元，基层政权和社区建设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132.2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万元，卫生与健康支出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2.16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万元，其他城乡社区管理事务支出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81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万元，其他农业支出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31.11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五、机关运行及三公经费情况说明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1、机关运行经费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2019年本级运行经费当年一般公共预算拨款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33.59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万元。比上年减少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0.7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万元，下降了2%。主要原因是人员的增减变化。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2、“三公”经费预算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2018年“三公”经费预算数为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0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万元，其中，公务接待费0万元，公务用车购置费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万元，公务用车运行费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万元，因公出国（出境）费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万元。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年“三公经费”预算与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年持平。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六、国有资产及政府采购情况说明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1、国有资产占用情况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截至2018年12月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31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日，本部门共有车辆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辆，其中，领导干部用车0辆，一般公务用车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辆，一般执法执勤用车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辆，特种专业技术用车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辆，其他用车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辆。单位价值50万元以上通用设备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台，价值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万元以上专用设备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2019年部门预算安排增加（减少）车辆 0 台，预计购置单价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万元以上大型设备价值 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台。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政府采购安排情况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2019年资阳区大码头街道办事处政府采购预算数额 0 万元，其中：政府采购货物预算  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万元、政府采购工程预算  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0  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万元、政府采购服务预算  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0  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七、预算绩效情况及其他重要事项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1、重点项目预算的绩效目标等预算绩效情况说明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 本单位整体支出和项目支出实行绩效目标管理，纳入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19年部门整体支出绩效目标的金额为880.21万元，其中：基本支出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565.72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万元，项目支出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314.49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万元。本单位实行部门预算绩效目标管理的项目共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0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个，涉及一般公共预算拨款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0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2、其他重要事项说明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 本单位无其他重要事项。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八、名词解释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、机关运行经费：为保障行政单位（包括参照公务员法管理的事业单位）运行，用一般公共预算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、“三公”经费：纳入区级财政预算管理的“三公“经费，是指用一般公共预算拨款（经费拨款和纳入一般公共预算管理的非税收入拨款）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第二部分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部门预算需公开的表格情况（见附表）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1、收支预算总表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2、收入预算总表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3、支出预算总表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4、支出预算分类汇总表（按部门预算经济分类）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5、支出预算分类汇总表（按政府预算经济分类）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6、财政拨款收支预算表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7、一般公共预算支出预算分类汇总表（按部门预算经济分类）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8、一般公共预算支出预算分类汇总表（按政府预算经济分类）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9、政府性基金拨款支出预算分类汇总表（按部门预算经济分类）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10、政府性基金拨款支出预算分类汇总表（按政府预算经济分类）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11、基本支出预算明细表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工资福利与对个人和家庭的补助（按部门预算经济分类）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12、基本支出预算明细表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工资福利与对个人和家庭的补助（按政府预算经济分类）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13、基本支出预算明细表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商品和服务支出（按部门预算经济分类）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14、基本支出预算明细表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商品和服务支出（按政府预算经济分类）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15、一般公共预算基本支出预算明细表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工资福利与对个人和家庭的补助（按部门预算经济分类）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16、一般公共预算基本支出预算明细表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工资福利与对个人和家庭的补助（按政府预算经济分类）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17、本支出预算明细表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商品和服务支出（按部门预算经济分类）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18、一般公共预算基本支出预算明细表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商品和服务支出（按政府预算经济分类）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19、“三公”经费情况表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一般公共预算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0E7811"/>
    <w:multiLevelType w:val="singleLevel"/>
    <w:tmpl w:val="8D0E7811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DF07B60C"/>
    <w:multiLevelType w:val="singleLevel"/>
    <w:tmpl w:val="DF07B60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F2EB9"/>
    <w:rsid w:val="56DF10CD"/>
    <w:rsid w:val="580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2020-01-19T03:12:00Z</dcterms:created>
  <dc:creator>Administrator</dc:creator>
  <cp:lastModifiedBy>Administrator</cp:lastModifiedBy>
  <dcterms:modified xsi:type="dcterms:W3CDTF">2020-01-19T06:42:01Z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