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益阳市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资阳区黄家湖新区管理委员会2019年部门预算公开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（增减变化情况）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13、基本支出预算明细表-商品和服务支出（按部门预算经济分类）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14、基本支出预算明细表-商品和服务支出（按政府预算经济分类）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18、一般公共预算基本支出预算明细表-商品和服务支出（按政府预算经济分类）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19、“三公”经费情况表-一般公共预算</w:t>
      </w:r>
    </w:p>
    <w:p>
      <w:pPr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6"/>
          <w:szCs w:val="36"/>
          <w:shd w:val="clear" w:fill="FFFFFF"/>
          <w:vertAlign w:val="subscript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8"/>
          <w:szCs w:val="48"/>
          <w:shd w:val="clear" w:fill="FFFFFF"/>
          <w:vertAlign w:val="subscript"/>
        </w:rPr>
        <w:t>第一部分、益阳市资阳区黄家湖新区管理委员会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8"/>
          <w:szCs w:val="48"/>
          <w:shd w:val="clear" w:fill="FFFFFF"/>
          <w:vertAlign w:val="subscript"/>
          <w:lang w:val="en-US"/>
        </w:rPr>
        <w:t>2019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8"/>
          <w:szCs w:val="48"/>
          <w:shd w:val="clear" w:fill="FFFFFF"/>
          <w:vertAlign w:val="subscript"/>
        </w:rPr>
        <w:t>年部门预算说明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一、部门职责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（一）贯彻执行国家、省、市有关法律、法规和政策，在区委区政府的领导下，拟订新区发展计划和工作目标，经批准后实施；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（二）编制新区总体规划和开发建设详细规划，经区委、区政府批准后组织实施；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（三）负责新区产业发展规划，产业、项目包装及产品培植等工作；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（四）根据授权，做好新区土地利用规划和使用管理工作，协助做好新区的土地征用、房屋拆迁、青苗赔偿工作，协助做好新区内基础设施建设工作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（五）负责新区国有资产的运营和保值增值工作；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（六）负责黄家湖国家湿地公园的基础建设、保护管理和合理利用等工作；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（七）负责做好新区对外宣传、招商引资及落户项目的考察论证和审核工作；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（八）负责做好新区内的企业指导和协调服务工作，协助做好新区内企业项目申报、统计等工作；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（九）负责做好新区党的建设、纪律检查、组织、人事、劳动及群团、老干等工作；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（十）根据授权，承担新区部分行政管理及经济管理职能；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（十一）负责做好区委、区政府交办的其它事项。•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黄家湖新区除本级外还有二级预算单位，在职全额事业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人。本级纳入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年部门预算编制范围，二级单位预算益阳市资阳区统筹城乡发展服务中心未纳入。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三、部门收支概况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年部门预算仅包括本级预算。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（一）收入预算：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年年初预算数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235.71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万元，其中，经费拨款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232.37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万元，事业单位经营服务收入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万元，政府性基金拨款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万元，纳入专户管理的非税收入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万元，其他收入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3.34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万元。收入较去年增加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69.94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万元，主要是人员经费和专项经费的增加。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（二）支出预算：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年年初预算数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235.71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万元，其中，一般公共服务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213.03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万元，社会保障和就业支出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11.94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，医疗卫生与计划生育支出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3.58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万元，住房保障支出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万元。支出较去年增加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69.94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万元，主要是人员经费和专项经费的增加。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年一般公共预算拨款收入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213.03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（一）基本支出：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年年初预算数为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73.03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（二）项目支出：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年年初预算数为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万元，是指单位为完成特定行政工作任务或事业发展目标而发生的支出。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年本级机构运行经费当年一般公共预算拨款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5.73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年相比增加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，主要原因黄家湖新区职责职权等增加。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年“三公”经费预算数为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万元，其中，公务接待费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万元，公务用车运行费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万元，因公出国（出境）费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年“三公经费”预算与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年政府采购预算总额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六、国有资产及政府采购情况说明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截至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日，本部门共有车辆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辆，其中，领导干部用车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辆，一般公务用车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辆，一般执法执勤用车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辆，特种专业技术用车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辆，其他用车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辆。单位价值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万元以上通用设备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台，价值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万元以上专用设备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年部门预算安排增加（减少）车辆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台，预计购置单价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万元以上大型设备价值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台。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、政府采购安排情况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年部门采购预算数额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万元，其中：政府采购货物预算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万元、政府采购工程预算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万元、政府采购服务预算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7" w:beforeAutospacing="0" w:after="0" w:afterAutospacing="0" w:line="561" w:lineRule="atLeast"/>
        <w:ind w:left="0" w:right="0" w:firstLine="52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七、预算绩效情况及其他重要事项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7" w:beforeAutospacing="0" w:after="0" w:afterAutospacing="0" w:line="561" w:lineRule="atLeast"/>
        <w:ind w:left="0" w:right="0" w:firstLine="52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（一）重点项目预算的绩效目标等预算绩效情况说明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7" w:beforeAutospacing="0" w:after="0" w:afterAutospacing="0" w:line="561" w:lineRule="atLeast"/>
        <w:ind w:left="0" w:right="0" w:firstLine="52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本单位整体支出和项目支出实行绩效目标管理，纳入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年部门整体支出绩效目标的金额为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213.03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万元，其中：基本支出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73.03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万元，项目支出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万元。本单位实行部门预算绩效目标管理的项目共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个，涉及一般公共预算拨款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0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7" w:beforeAutospacing="0" w:after="0" w:afterAutospacing="0" w:line="561" w:lineRule="atLeast"/>
        <w:ind w:left="0" w:right="0" w:firstLine="52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（二）其他重要事项说明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7" w:beforeAutospacing="0" w:after="0" w:afterAutospacing="0" w:line="561" w:lineRule="atLeast"/>
        <w:ind w:left="0" w:right="0" w:firstLine="52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本单位无其他重要事项。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第二部分、部门预算需公开的表格情况（见附表）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、收支预算总表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、收入预算总表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、支出预算总表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、财政拨款收支预算表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、一般公共预算支出预算分类汇总表（按部门预算经济分类）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、一般公共预算支出预算分类汇总表（按政府预算经济分类）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、政府性基金拨款支出预算分类汇总表（按部门预算经济分类）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、政府性基金拨款支出预算分类汇总表（按政府预算经济分类）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、一般公共预算基本支出预算明细表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、一般公共预算基本支出预算明细表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、一般公共预算基本支出预算明细表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、“三公”经费情况表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一般公共预算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34F17"/>
    <w:rsid w:val="279E689D"/>
    <w:rsid w:val="3648172B"/>
    <w:rsid w:val="4EF7266B"/>
    <w:rsid w:val="5D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2020-01-20T02:05:21Z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